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8B7B" w14:textId="77777777" w:rsidR="00CC1260" w:rsidRDefault="00A8341E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HEMOVIGILÂNCIA: C</w:t>
      </w:r>
      <w:r w:rsidRPr="001F6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ONHECIMENTO DA EQUIPE DE ENFERMAGEM SOBRE </w:t>
      </w: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REAÇÕES</w:t>
      </w:r>
      <w:r w:rsidRPr="001F6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TRANSFUSIONAIS</w:t>
      </w:r>
    </w:p>
    <w:p w14:paraId="30FD9851" w14:textId="77777777" w:rsidR="001F2CBA" w:rsidRDefault="001F2CBA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A92D4" w14:textId="4927CA62" w:rsidR="007C3292" w:rsidRDefault="007C3292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HEMOVIGILANCE: KNOWLEDGE OF THE NURSING TEAM ABOUT TRANSFUSION REACTIONS</w:t>
      </w:r>
    </w:p>
    <w:p w14:paraId="6870230D" w14:textId="77777777" w:rsidR="001F2CBA" w:rsidRDefault="001F2CBA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EC4003" w14:textId="5FF3F468" w:rsidR="001F2CBA" w:rsidRDefault="001F2CBA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HEMOVIGILANCIA: CONOCIMIENTO DEL EQUIPO DE ENFERMERÍA SOBRE LAS REACCIONES TRANSFUSIONALES</w:t>
      </w:r>
    </w:p>
    <w:p w14:paraId="7A623DDB" w14:textId="77777777" w:rsidR="001F2CBA" w:rsidRDefault="001F2CBA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EBF704" w14:textId="77777777" w:rsidR="001F2CBA" w:rsidRPr="001F6FB4" w:rsidRDefault="001F2CBA" w:rsidP="00D12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1E86A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Resumo</w:t>
      </w:r>
    </w:p>
    <w:p w14:paraId="0ABE1895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eading=h.30j0zll" w:colFirst="0" w:colLast="0"/>
      <w:bookmarkEnd w:id="1"/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Objetivo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1F6FB4">
        <w:rPr>
          <w:rFonts w:ascii="Times New Roman" w:eastAsia="Times New Roman" w:hAnsi="Times New Roman" w:cs="Times New Roman"/>
          <w:color w:val="00000A"/>
          <w:sz w:val="24"/>
          <w:szCs w:val="24"/>
        </w:rPr>
        <w:t>Analisar o grau de conhecimento da equipe de enfermagem sobre hemoterapia e reação transfusional imediata.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Método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transversal, analítico, quantitativo, realizado com profissionais de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enfermagem da Unidade de Terapia Intensiva de um hospital de referência do Nordeste, por meio da aplicação de um instrumento semiestruturado, no período de março a abril de 2020. O escore de conhecimento foi obtido pela Análise de Correspondência Múltipla e pelo teste de comparação de medianas de Monte Carlo. </w:t>
      </w: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: Dos 32 participantes, oito eram enfermeiros e 24 técnicos de enfermagem. A maioria não recebeu treinamento sobre hemoterapia 24 (75%) e não se sentia capacitada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atuar em reação transfusional imediata 22 (68,8%). Quanto ao grau de conhecimento</w:t>
      </w:r>
      <w:r w:rsidRPr="001F6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verificamos que os enfermeiros (mediana 77,7) apresentaram melhores escores em relação aos técnicos (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mediana 33,8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p=0,04).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Identificou-se, também, que a faixa etária 18 a 40 anos (mediana 62,7) apresentou melhor resultado em relação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faixa de 40 anos ou mais (mediana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25,5;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p=0,01).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Conclusão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Destaca-se a necessidade de os profissionais pesquisados terem educação continuada sobre hemoterapia, além de treinamento em serviço, visando um melhor atendimento e manutenção da cultura de segurança na hemoterapia.</w:t>
      </w:r>
    </w:p>
    <w:p w14:paraId="39C1B916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Descritores</w:t>
      </w:r>
      <w:r w:rsidRPr="001F6F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Hemoterapia; Transfusão de sangue; Cuidados de enfermagem; Reação transfusional.</w:t>
      </w:r>
    </w:p>
    <w:p w14:paraId="57E65A3B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B207016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678CFFC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3CFE823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A8B6166" w14:textId="77777777" w:rsidR="001F6FB4" w:rsidRDefault="001F6FB4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24819E" w14:textId="77777777" w:rsidR="001F6FB4" w:rsidRDefault="001F6FB4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E5AE2F8" w14:textId="77777777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Resumen</w:t>
      </w:r>
      <w:proofErr w:type="spellEnd"/>
    </w:p>
    <w:p w14:paraId="651B0C68" w14:textId="1FC20C8D" w:rsidR="001F6FB4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Objetivo: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Analizar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conocimiento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del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equipo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enfermería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sobre hemoterapia y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transfusional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Método: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Estudio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transversal, analítico,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cuantitativo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realizado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profesionales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enfermería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Unidad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Cuidados Intensivos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hospital de referencia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del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Nordeste, mediante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aplicación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instrumento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semiestructurado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marzo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abril de 2020. El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puntaje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conocimiento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fue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obtenido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por </w:t>
      </w:r>
      <w:proofErr w:type="spellStart"/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Análisis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Correspondencia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Múltiple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prueba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comparación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mediana de Monte Carlo. </w:t>
      </w:r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Resultados: 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32 participantes,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ocho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eran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24 técnicos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enfermería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mayoría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recibió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capacitación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hemoterapia 24 (75%) y no se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sintió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capacitada para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actuar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transfusional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 (68,8%).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cuanto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al</w:t>
      </w:r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conocimiento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encontramos que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enfermeras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(mediana 77,7)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obtuvieron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mejores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puntajes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técnicos (mediana 33,8; p = 0,04).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También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identificó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grupo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edad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18 a 40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años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(mediana 62,7)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tuvo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mejor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resultado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relación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grupo de 40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años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más (mediana 25,5; p = 0,01). </w:t>
      </w: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Conclusión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destaca </w:t>
      </w:r>
      <w:proofErr w:type="spellStart"/>
      <w:proofErr w:type="gram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proofErr w:type="gram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necesidad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que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profesionales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encuestados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tengan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formación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continua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hemoterapia,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además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formación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servicio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objetivo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mejor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servicio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mantenimiento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la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cultura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seguridad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hemoterapia.</w:t>
      </w:r>
    </w:p>
    <w:p w14:paraId="5EB2DE90" w14:textId="77777777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1123AA" w14:textId="3D26C9DD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Descriptores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Hemoterapia;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sangre; Cuidado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enfermera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Reacción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transfusión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3799A15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18F6DD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C350F3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058439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AE419E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182C1A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60DC40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EE7849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897E3C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BC84FC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469270" w14:textId="77777777" w:rsid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728C1B" w14:textId="77777777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322060" w14:textId="77777777" w:rsidR="002669EB" w:rsidRDefault="002669EB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A10BFF1" w14:textId="77777777" w:rsidR="002669EB" w:rsidRDefault="002669EB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FA05BCF" w14:textId="77777777" w:rsidR="002669EB" w:rsidRDefault="002669EB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5D889E5" w14:textId="77777777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Abstract</w:t>
      </w:r>
    </w:p>
    <w:p w14:paraId="0475B2AA" w14:textId="7F2EDA4C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Objective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analyze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degree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knowledge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nursing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team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about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hemotherapy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immediate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Method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Cross-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sectional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analytical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quantitative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study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carried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out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with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nursing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from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Intensive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Care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Unit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reference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hospital in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Northeast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through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application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semi-structured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instrument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from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March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April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 The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knowledge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score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was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obtained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by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Multiple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Correspondence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Analysis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Monte Carlo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median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comparison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test. </w:t>
      </w: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Results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32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participants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eight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were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nurses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24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nursing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technicians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Most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did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receive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training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hemotherapy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24 (75%)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did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not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feel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qualified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act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immediate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22 (68.8%). As for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degree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knowledge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we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found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that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nurses (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median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77.7)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better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scores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compared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technicians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median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33.8; p = 0.04). It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was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also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identified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that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group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18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40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years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old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median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62.7)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had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better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result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relation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age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group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40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older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median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25.5; p = 0.01). </w:t>
      </w: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Conclusion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highlighted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need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professionals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surveyed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continuing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education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hemotherapy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in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addition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in-service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training,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aiming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at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better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service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maintenance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safety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culture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hemotherapy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782B3A6" w14:textId="421CFAA1" w:rsidR="001F2CBA" w:rsidRPr="001F2CBA" w:rsidRDefault="001F2CBA" w:rsidP="001F2C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Descriptors</w:t>
      </w:r>
      <w:proofErr w:type="spellEnd"/>
      <w:r w:rsidRPr="001F2CB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Hemotherapy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Blood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Nursing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care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Transfusion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reaction</w:t>
      </w:r>
      <w:proofErr w:type="spellEnd"/>
      <w:r w:rsidRPr="001F2CB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9B7E88B" w14:textId="77777777" w:rsidR="001F6FB4" w:rsidRDefault="001F6FB4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F60F283" w14:textId="77777777" w:rsidR="001F6FB4" w:rsidRDefault="001F6FB4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91B9CD6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35CAA16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4F600DB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C8BBCDC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7D8FB98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A38CE7D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05643D7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8754BF2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6EF6FA3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A9A8932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58E19DC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5782C677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F04B040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1EA6C1C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9420E05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62090DD" w14:textId="77777777" w:rsidR="001F2CBA" w:rsidRDefault="001F2CBA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A096EA5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INTRODUÇÃO</w:t>
      </w:r>
    </w:p>
    <w:p w14:paraId="76E660F1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hemoterapia é um recurso terapêutico executado por meio da transfusão sanguínea e de seus componentes, utilizado em casos graves de anemia, hemorragia, queimaduras, hemofilia, transplante de medula ou de outros órgãos, ou ainda, complicações de qualquer cirurgia. O sangue é um tecido vivo que circula pelo corpo; por meio deste, doenças variadas podem ser transmitidas, o que torna a transfusão um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tratamento de alta complexidade, com riscos e complicações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associados</w:t>
      </w:r>
      <w:r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0B6B1" w14:textId="1FCA3D89" w:rsidR="00010A54" w:rsidRPr="001F6FB4" w:rsidRDefault="00A8341E" w:rsidP="001F6FB4">
      <w:pPr>
        <w:tabs>
          <w:tab w:val="left" w:pos="63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um sistema de identificação e alerta organizado com objetivo de coletar, avaliar e identificar informações para realizar o monitoramento das reações transfusionais sobre os efeitos indesejáveis ou inesperados da utilização de hemocomponentes, a fim de prevenir seu aparecimento ou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recorrência</w:t>
      </w:r>
      <w:r w:rsidR="00E14B0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r w:rsidR="00E14B0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1F6FB4">
        <w:rPr>
          <w:rFonts w:ascii="Times New Roman" w:eastAsia="Arial" w:hAnsi="Times New Roman" w:cs="Times New Roman"/>
          <w:color w:val="202124"/>
          <w:sz w:val="24"/>
          <w:szCs w:val="24"/>
          <w:highlight w:val="white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reações transfusionais são conhecidas como resultados indesejados associados à administração de hemoderivados ou hemocomponentes, podendo ser resultado de um incidente do ciclo do sangue, ou da relação entre um receptor e o </w:t>
      </w:r>
      <w:proofErr w:type="spellStart"/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hemocomponente</w:t>
      </w:r>
      <w:proofErr w:type="spell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54DFF491" w14:textId="0CB75B7B" w:rsidR="00CC1260" w:rsidRPr="001F6FB4" w:rsidRDefault="00A8341E" w:rsidP="001F6FB4">
      <w:pPr>
        <w:tabs>
          <w:tab w:val="left" w:pos="63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Brasil, um estudo realizado em São Paulo entre 2007 a 2019, identificou o total de 1.448 reações transfusionais imediatas, 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representando 4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 por 1.000 transfusões em média ao </w:t>
      </w:r>
      <w:proofErr w:type="gramStart"/>
      <w:r w:rsidR="00010A54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ano</w:t>
      </w:r>
      <w:r w:rsidR="00E14B0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</w:t>
      </w:r>
      <w:r w:rsidR="00E14B0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bookmarkStart w:id="2" w:name="_heading=h.1fob9te" w:colFirst="0" w:colLast="0"/>
      <w:bookmarkEnd w:id="2"/>
      <w:r w:rsidR="00010A54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complicações transfusionais são categorizadas como imediatas e tardias. As reações imediatas são aquelas que acontecem no decorrer da transfusão, ou em até 24 horas após o processo, já as tardias ocorrem após 24 horas da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transfusão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22D90CA4" w14:textId="198400BA" w:rsidR="00CC1260" w:rsidRPr="001F6FB4" w:rsidRDefault="00A8341E" w:rsidP="001F6FB4">
      <w:pPr>
        <w:tabs>
          <w:tab w:val="left" w:pos="63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Nesse contexto, a prevenção e/ou identificação precoce de reações associadas à transfusão baseiam-se na vigilância segura e em evidências, bem como na atenção e cuidado direto por enfermeiros, especialmente por aqueles que trabalham em cuidados intensivos, onde a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hemotransfusão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uma prática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frequente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C0AE8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Dessa forma, tem papel importante na garantia da segurança transfusional, sendo fundamental sua participação nos programas de captação de doadores, além do desenvolvimento e participação em pesquisas relacionadas à hemoterapia e à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hematologia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FF1102C" w14:textId="71000C84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Além do enfermeiro, a equipe de enfermagem também é responsável por conhecer as indicações de transfusões, realizar a checagem de dados para prevenir erros, orientar os pacientes sobre a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hemotransfusão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detectar e atuar no atendimento às reações transfusionais e documentar o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procedimento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Diante dos avanços na área de hemoterapia e da problemática apresentada, o objetivo deste trabalho é analisar o grau de conhecimento da equipe de enfermagem sobre hemoterapia e reação transfusional imediata.</w:t>
      </w:r>
    </w:p>
    <w:p w14:paraId="45447982" w14:textId="77777777" w:rsidR="001F6FB4" w:rsidRDefault="001F6FB4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43BDE" w14:textId="77777777" w:rsidR="005A775F" w:rsidRDefault="005A775F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62A26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MÉTODO</w:t>
      </w:r>
    </w:p>
    <w:p w14:paraId="3D8BB631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 w:rsidRPr="001F6FB4">
        <w:rPr>
          <w:rFonts w:ascii="Times New Roman" w:eastAsia="Times New Roman" w:hAnsi="Times New Roman" w:cs="Times New Roman"/>
          <w:sz w:val="24"/>
          <w:szCs w:val="24"/>
        </w:rPr>
        <w:t>Trata-se de um estudo transversal, analítico, com abordagem quantitativa realizado na Unidade de Terapia Intensiva (UTI) geral de adulto de um Hospital Universitário, localizado no município de Recife - PE. A população do estudo foi composta por profissionais da equipe de enfermagem: enfermeiros e técnicos de enfermagem, que trabalhavam na UTI geral de pacientes adultos. A amostra do tipo não probabilística por adesão foi composta por 32 profissionais de enfermagem que estavam exercendo suas funções durante o horário das atividades e com agendamento prévio.</w:t>
      </w:r>
    </w:p>
    <w:p w14:paraId="33D94D18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Estabeleceu-se como critério de inclusão: profissionais de enfermagem que se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encontravam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em efetivo exercício, que atuavam na UTI há pelo menos 10 meses; e como critério de exclusão: afastamento do profissional por motivo de licenças e férias. A coleta de dados foi realizada nos meses de março e abril do ano de 2020; utilizou-se como instrumento de coleta de dados, um questionário semiestruturado composto por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18 questões de múltipla escolha, dicotômicas e semiabertas, elaborado pelos autores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F5CA6" w14:textId="08DC3C76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As questões foram baseadas na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portaria n°158, de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fevereiro de 2016, que redefine o regulamento técnico de procedimentos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hemoterápicos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Brasil, e na Resolução da Diretoria Colegiada (RDC) n°34, de 11 de junho de 2014, que dispõe sobre as boas práticas no ciclo do sangue e normatizam as práticas dos profissionais de saúde na administração dos hemocomponentes e hemoderivados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(3-5)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(7,8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2185B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>A primeira parte do questionário propôs-se a caracterizar o perfil sociodemográfico dos participantes (sexo, idade, formação profissional e experiência profissional), e a segunda parte um roteiro de perguntas acerca do conhecimento sobre hemoterapia e reação transfusional imediata.</w:t>
      </w:r>
    </w:p>
    <w:p w14:paraId="03AD42EA" w14:textId="77777777" w:rsidR="00CC1260" w:rsidRPr="001F6FB4" w:rsidRDefault="00A8341E" w:rsidP="001F6F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As entrevistas individuais foram realizadas em local reservado, durante o horário dos plantões, com agendamento prévio. Os participantes foram orientados a respeito do objetivo do estudo e concordaram em participar da pesquisa mediante a assinatura do Termo de Consentimento Livre e Esclarecido (TCLE).</w:t>
      </w:r>
    </w:p>
    <w:p w14:paraId="28ECB532" w14:textId="1C4A47F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A tabulação dos dados foi realizada no Microsoft Office Excel 2017. Inicialmente foram calculadas as frequências absolutas e relativas de todas as variáveis do estudo. Quatro variáveis (período de infusão, doador universal, receptor universal, tempo de reação transfusional imediata), foram agrupadas e categorizadas para medir o conhecimento sobre hemoterapia. </w:t>
      </w:r>
    </w:p>
    <w:p w14:paraId="60C05DCA" w14:textId="024D4042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yjcwt" w:colFirst="0" w:colLast="0"/>
      <w:bookmarkEnd w:id="5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O escore foi obtido pela Análise de Correspondência Múltipla (ACM), que se trata de uma técnica de análise estatística multivariada que possibilita a redução de dimensionalidade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lastRenderedPageBreak/>
        <w:t>para dados categóricos a partir da associação existente entre as categorias das variáveis analisadas. Tal redução gera novas variáveis (dimensões) que são combinações lineares de pesos atribuídos a cada categoria das variáveis inseridas. A aplicação da ACM para “</w:t>
      </w:r>
      <w:r w:rsidRPr="001F6FB4">
        <w:rPr>
          <w:rFonts w:ascii="Times New Roman" w:eastAsia="Times New Roman" w:hAnsi="Times New Roman" w:cs="Times New Roman"/>
          <w:i/>
          <w:sz w:val="24"/>
          <w:szCs w:val="24"/>
        </w:rPr>
        <w:t>p”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variáveis resulta na geração de “</w:t>
      </w:r>
      <w:r w:rsidRPr="001F6FB4">
        <w:rPr>
          <w:rFonts w:ascii="Times New Roman" w:eastAsia="Times New Roman" w:hAnsi="Times New Roman" w:cs="Times New Roman"/>
          <w:i/>
          <w:sz w:val="24"/>
          <w:szCs w:val="24"/>
        </w:rPr>
        <w:t>p”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dimensões, em que a variância total do sistema original é atribuída de forma ordinal para as “</w:t>
      </w:r>
      <w:r w:rsidRPr="001F6FB4">
        <w:rPr>
          <w:rFonts w:ascii="Times New Roman" w:eastAsia="Times New Roman" w:hAnsi="Times New Roman" w:cs="Times New Roman"/>
          <w:i/>
          <w:sz w:val="24"/>
          <w:szCs w:val="24"/>
        </w:rPr>
        <w:t>p”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dimensões, fazendo com que a dimensão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possua o maior quantitativo de variância geral e a dimensão “</w:t>
      </w:r>
      <w:r w:rsidRPr="001F6FB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” o menor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(9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EDAFAE1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Para facilitar a interpretação do escore, a escala do mesmo foi alterada para uma que vai de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até 100, onde 0 indica baixo conhecimento e 100 alto. O escore na nova escala foi obtido pela seguinte fórmula:</w:t>
      </w:r>
    </w:p>
    <w:p w14:paraId="41D7642D" w14:textId="77777777" w:rsidR="00CC1260" w:rsidRPr="001F6FB4" w:rsidRDefault="003F10F6" w:rsidP="001F6FB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Y</m:t>
              </m:r>
            </m:e>
            <m:sub/>
            <m: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eastAsia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Y - mín(Y)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máx(Y) - mín(Y)</m:t>
              </m:r>
            </m:den>
          </m:f>
        </m:oMath>
      </m:oMathPara>
    </w:p>
    <w:p w14:paraId="7F2AF566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dy6vkm" w:colFirst="0" w:colLast="0"/>
      <w:bookmarkEnd w:id="6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Após a obtenção do escore de conhecimento, investigou-se como este se comportava de acordo com as variáveis sociodemográficas. Para tal, utilizou-se o teste de comparação de medianas via permutação, com 10.000 réplicas de Monte Carlo. Na análise dos dados foram utilizadas as medidas descritivas de centralidade (média, mediana) e de dispersão (desvio-padrão, valor mínimo e valor máximo). Todos os cálculos foram feitos utilizando a linguagem R versão 3.6.1 com destaque para o </w:t>
      </w:r>
      <w:proofErr w:type="spellStart"/>
      <w:proofErr w:type="gramStart"/>
      <w:r w:rsidRPr="001F6FB4">
        <w:rPr>
          <w:rFonts w:ascii="Times New Roman" w:eastAsia="Times New Roman" w:hAnsi="Times New Roman" w:cs="Times New Roman"/>
          <w:i/>
          <w:sz w:val="24"/>
          <w:szCs w:val="24"/>
        </w:rPr>
        <w:t>FactoMineR</w:t>
      </w:r>
      <w:proofErr w:type="spellEnd"/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versão 2.0 para realização da ACM.</w:t>
      </w:r>
    </w:p>
    <w:p w14:paraId="2E154F34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Este estudo foi aprovado pelo Comitê de Ética em Pesquisa do Complexo Hospitalar HUOC/PROCAPE,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sob parecer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nº 3.847.882, e seguiu as orientações do Conselho Nacional de Saúde, de acordo com a resolução 466/12, que se trata das pesquisas envolvendo seres humanos.</w:t>
      </w:r>
    </w:p>
    <w:p w14:paraId="028C4F31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6C159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2xcytpi" w:colFirst="0" w:colLast="0"/>
      <w:bookmarkEnd w:id="7"/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72F45629" w14:textId="77777777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Participaram do estudo 32 profissionais, sendo </w:t>
      </w:r>
      <w:proofErr w:type="gramStart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End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(25%)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enfermeiros e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24 (75%)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técnicos de enfermagem. A maioria era do sexo feminino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>(75%), faixas etárias 18 a 39 anos (56,3%) e de 40 e mais (43,8%); apresentava tempo de atuação na UTI de menos de 1ano  (40,6%), 1 a 5 anos  (31,3%) e 5 e mais  (28,1%).</w:t>
      </w:r>
    </w:p>
    <w:p w14:paraId="229A6A24" w14:textId="77777777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1t3h5sf" w:colFirst="0" w:colLast="0"/>
      <w:bookmarkEnd w:id="8"/>
      <w:r w:rsidRPr="00EA6DC4">
        <w:rPr>
          <w:rFonts w:ascii="Times New Roman" w:eastAsia="Times New Roman" w:hAnsi="Times New Roman" w:cs="Times New Roman"/>
          <w:sz w:val="24"/>
          <w:szCs w:val="24"/>
        </w:rPr>
        <w:t>Em relação aos treinamentos, verificamos que a maioria não tinha treinamento sobre hemoterapia (75%); não se sentia capacitada para atuar em eventos adversos de hemoterapia (68,8%); não sabia a função e a indicação dos hemocomponentes (65,6%).</w:t>
      </w:r>
    </w:p>
    <w:p w14:paraId="18E6BBAD" w14:textId="77777777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Em relação ao conhecimento da equipe de enfermagem sobre hemoterapia, identificamos que a maioria respondeu corretamente que o acompanhamento da transfusão é atribuição do enfermeiro e técnico de enfermagem; tinham conhecimento do período máximo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infusão do concentrado de hemácias, e que não pode ser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administrado drogas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>, simultaneamente, no mesmo acesso venoso da transfusão. Entretanto, observou-se déficit de conhecimento quanto ao tipo sanguíneo doador e receptor universal (Tabela 1).</w:t>
      </w:r>
    </w:p>
    <w:p w14:paraId="66BA9218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1: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Conhecimentos sobre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hemoterapia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apresentado pelos profissionais de enfermagem do estudo (n=32). Recife-PE, 2020.</w:t>
      </w:r>
    </w:p>
    <w:tbl>
      <w:tblPr>
        <w:tblStyle w:val="a3"/>
        <w:tblW w:w="846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11"/>
        <w:gridCol w:w="2678"/>
        <w:gridCol w:w="385"/>
        <w:gridCol w:w="493"/>
      </w:tblGrid>
      <w:tr w:rsidR="00CC1260" w:rsidRPr="00EA6DC4" w14:paraId="6D854461" w14:textId="77777777">
        <w:trPr>
          <w:trHeight w:val="300"/>
          <w:jc w:val="center"/>
        </w:trPr>
        <w:tc>
          <w:tcPr>
            <w:tcW w:w="4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83900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Variável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39A9FF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B77B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6CD71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C1260" w:rsidRPr="00EA6DC4" w14:paraId="34805A83" w14:textId="77777777">
        <w:trPr>
          <w:trHeight w:val="300"/>
          <w:jc w:val="center"/>
        </w:trPr>
        <w:tc>
          <w:tcPr>
            <w:tcW w:w="4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3D1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o período máximo de infusão do concentrado de hemácias?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C8A8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horas 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E5E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F993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CC1260" w:rsidRPr="00EA6DC4" w14:paraId="326A3A12" w14:textId="77777777">
        <w:trPr>
          <w:trHeight w:val="74"/>
          <w:jc w:val="center"/>
        </w:trPr>
        <w:tc>
          <w:tcPr>
            <w:tcW w:w="49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D32D3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339D52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7365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5D9D59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CC1260" w:rsidRPr="00EA6DC4" w14:paraId="7862559D" w14:textId="77777777">
        <w:trPr>
          <w:trHeight w:val="209"/>
          <w:jc w:val="center"/>
        </w:trPr>
        <w:tc>
          <w:tcPr>
            <w:tcW w:w="4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9D1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Durante a </w:t>
            </w:r>
            <w:proofErr w:type="spell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hemotransfusão</w:t>
            </w:r>
            <w:proofErr w:type="spellEnd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pode ser administrado outras drogas no mesmo acesso?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1E31D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Não 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7BE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C80D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CC1260" w:rsidRPr="00EA6DC4" w14:paraId="0C9747ED" w14:textId="77777777">
        <w:trPr>
          <w:trHeight w:val="60"/>
          <w:jc w:val="center"/>
        </w:trPr>
        <w:tc>
          <w:tcPr>
            <w:tcW w:w="49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5F65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078D2A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BF7E9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93EB4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C1260" w:rsidRPr="00EA6DC4" w14:paraId="77D4853C" w14:textId="77777777">
        <w:trPr>
          <w:trHeight w:val="300"/>
          <w:jc w:val="center"/>
        </w:trPr>
        <w:tc>
          <w:tcPr>
            <w:tcW w:w="4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FBF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doador universal?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59E7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negativo 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CB2E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88EA1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CC1260" w:rsidRPr="00EA6DC4" w14:paraId="7FBAF4C3" w14:textId="77777777">
        <w:trPr>
          <w:trHeight w:val="60"/>
          <w:jc w:val="center"/>
        </w:trPr>
        <w:tc>
          <w:tcPr>
            <w:tcW w:w="49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4B54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3EAB2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Outros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90EF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004099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</w:tr>
      <w:tr w:rsidR="00CC1260" w:rsidRPr="00EA6DC4" w14:paraId="06326091" w14:textId="77777777">
        <w:trPr>
          <w:trHeight w:val="300"/>
          <w:jc w:val="center"/>
        </w:trPr>
        <w:tc>
          <w:tcPr>
            <w:tcW w:w="4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CC1C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receptor universal?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F1DF9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positivo 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D9E1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6C0E1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CC1260" w:rsidRPr="00EA6DC4" w14:paraId="2456704F" w14:textId="77777777">
        <w:trPr>
          <w:trHeight w:val="60"/>
          <w:jc w:val="center"/>
        </w:trPr>
        <w:tc>
          <w:tcPr>
            <w:tcW w:w="49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5292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FF9836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Outros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7F1C0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63B652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CC1260" w:rsidRPr="00EA6DC4" w14:paraId="13F57482" w14:textId="77777777">
        <w:trPr>
          <w:trHeight w:val="333"/>
          <w:jc w:val="center"/>
        </w:trPr>
        <w:tc>
          <w:tcPr>
            <w:tcW w:w="4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F5EB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acompanhamento durante </w:t>
            </w:r>
            <w:r w:rsidRPr="00EA6DC4">
              <w:rPr>
                <w:rFonts w:ascii="Times New Roman" w:eastAsia="Times New Roman" w:hAnsi="Times New Roman" w:cs="Times New Roman"/>
                <w:sz w:val="24"/>
                <w:szCs w:val="24"/>
              </w:rPr>
              <w:t>a transfusão</w:t>
            </w: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é atribuição?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262EA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Enfermeiro e técnico de enfermagem 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4DD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696E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CC1260" w:rsidRPr="00EA6DC4" w14:paraId="60953CA6" w14:textId="77777777">
        <w:trPr>
          <w:trHeight w:val="60"/>
          <w:jc w:val="center"/>
        </w:trPr>
        <w:tc>
          <w:tcPr>
            <w:tcW w:w="491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6702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13920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Outros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5789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F6010" w14:textId="77777777" w:rsidR="00CC1260" w:rsidRPr="00EA6DC4" w:rsidRDefault="00A8341E" w:rsidP="00EA6DC4">
            <w:pPr>
              <w:spacing w:after="0" w:line="360" w:lineRule="auto"/>
              <w:ind w:left="-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</w:tbl>
    <w:p w14:paraId="58448970" w14:textId="77777777" w:rsidR="00CC1260" w:rsidRPr="00EA6DC4" w:rsidRDefault="00A8341E" w:rsidP="00EA6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Dados da pesquisa,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2020</w:t>
      </w:r>
      <w:proofErr w:type="gramEnd"/>
    </w:p>
    <w:p w14:paraId="5859856C" w14:textId="77777777" w:rsidR="00CC1260" w:rsidRPr="00EA6DC4" w:rsidRDefault="00CC1260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4d34og8" w:colFirst="0" w:colLast="0"/>
      <w:bookmarkEnd w:id="9"/>
    </w:p>
    <w:p w14:paraId="7D60641C" w14:textId="77777777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sz w:val="24"/>
          <w:szCs w:val="24"/>
        </w:rPr>
        <w:t>Quanto ao conhecimento sobre reação transfusional imediata (Tabela 2) identificamos que mais da metade da amostra não vivenciou eventos adversos de hemoterapia; apenas 12 (37,5%) tinham conhecimento que a reação transfusional imediata pode ocorrer durante a transfusão, ou em até 24h.</w:t>
      </w:r>
    </w:p>
    <w:p w14:paraId="75ED8B3E" w14:textId="77777777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2s8eyo1" w:colFirst="0" w:colLast="0"/>
      <w:bookmarkEnd w:id="10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A maioria relatou saber identificar sinais e sintomas de uma reação transfusional imediata. Os principais sintomas relatados foram: tremores/calafrios, agitação/ansiedade e reação hemolítica aguda; e as complicações descritas foram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reação hemolítica aguda, contaminação bacteriana, hipotensão e sobrecarga circulatória.</w:t>
      </w:r>
    </w:p>
    <w:p w14:paraId="4C4F1886" w14:textId="030A959D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As principais condutas relatadas frente à reação transfusional foram: comunicar ao médico e enfermeiro, interromper a transfusão, guardar a bolsa e comunicar ao banco de sangue. Entretanto, foi evidenciado que a grande maioria nunca teve acesso ao formulário de notificação de reações adversas (Tabela 2).</w:t>
      </w:r>
    </w:p>
    <w:p w14:paraId="116CBC1A" w14:textId="77777777" w:rsidR="00CC1260" w:rsidRPr="00EA6DC4" w:rsidRDefault="00CC1260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78E8BF" w14:textId="77777777" w:rsidR="00CC1260" w:rsidRPr="00EA6DC4" w:rsidRDefault="00CC1260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59CD0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Tabela 2: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Conhecimentos sobre a reação transfusional imediata apresentado pelos profissionais de enfermagem do estudo (n=32). Recife-PE, 2020.</w:t>
      </w:r>
    </w:p>
    <w:tbl>
      <w:tblPr>
        <w:tblStyle w:val="a4"/>
        <w:tblW w:w="85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3"/>
        <w:gridCol w:w="3017"/>
        <w:gridCol w:w="385"/>
        <w:gridCol w:w="569"/>
      </w:tblGrid>
      <w:tr w:rsidR="00CC1260" w:rsidRPr="00EA6DC4" w14:paraId="505F6B2B" w14:textId="77777777">
        <w:trPr>
          <w:trHeight w:val="300"/>
          <w:jc w:val="center"/>
        </w:trPr>
        <w:tc>
          <w:tcPr>
            <w:tcW w:w="4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DD9E9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Variável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1A0E8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AD0F31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2C87B8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C1260" w:rsidRPr="00EA6DC4" w14:paraId="4B6B746C" w14:textId="77777777">
        <w:trPr>
          <w:trHeight w:val="300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F3BD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Vivenciou eventos adversos relacionados </w:t>
            </w:r>
            <w:r w:rsidRPr="00EA6DC4">
              <w:rPr>
                <w:rFonts w:ascii="Times New Roman" w:eastAsia="Times New Roman" w:hAnsi="Times New Roman" w:cs="Times New Roman"/>
                <w:sz w:val="24"/>
                <w:szCs w:val="24"/>
              </w:rPr>
              <w:t>à hemoterapia?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2C7A489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FFFF84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9E5AEB1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CC1260" w:rsidRPr="00EA6DC4" w14:paraId="0D353254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E2EF2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BE05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1A4F23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5AA9E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CC1260" w:rsidRPr="00EA6DC4" w14:paraId="550B7CEC" w14:textId="77777777">
        <w:trPr>
          <w:trHeight w:val="255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CD88AD6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heading=h.17dp8vu" w:colFirst="0" w:colLast="0"/>
            <w:bookmarkEnd w:id="11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tempo necessário para ocorrer uma reação transfusional imediata é?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A53058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Durante a transfusão ou em até 12h após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E0780B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0E24F5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CC1260" w:rsidRPr="00EA6DC4" w14:paraId="7EDCE0C0" w14:textId="77777777">
        <w:trPr>
          <w:trHeight w:val="6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4C45748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2E0F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eading=h.3rdcrjn" w:colFirst="0" w:colLast="0"/>
            <w:bookmarkEnd w:id="12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Durante a transfusão ou em até 24h após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EB8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CAC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CC1260" w:rsidRPr="00EA6DC4" w14:paraId="13084674" w14:textId="77777777">
        <w:trPr>
          <w:trHeight w:val="197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AA7347C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7A4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Apenas durante a transfusão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9C3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AA8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CC1260" w:rsidRPr="00EA6DC4" w14:paraId="47D303EC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838D35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D058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sabe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97BE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457A4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CC1260" w:rsidRPr="00EA6DC4" w14:paraId="41ABA5AD" w14:textId="77777777">
        <w:trPr>
          <w:trHeight w:val="300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4A4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Sabe identificar sinais e sintomas de uma reação transfusional imediata?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567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318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EC0E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CC1260" w:rsidRPr="00EA6DC4" w14:paraId="6FAE735A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C16D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C5BCD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4A7BD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7E0C6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CC1260" w:rsidRPr="00EA6DC4" w14:paraId="3E395B6B" w14:textId="77777777">
        <w:trPr>
          <w:trHeight w:val="300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C3CC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Quais principais sintomas e complicações de uma reação transfusional imediata?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48C8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Sobrecarga de ferro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F5ED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7BD4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CC1260" w:rsidRPr="00EA6DC4" w14:paraId="43BD2AD1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E4D3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3B0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Hipertensão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48D9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414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CC1260" w:rsidRPr="00EA6DC4" w14:paraId="456108C6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06E97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F687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Hipotensão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FC9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3F2A8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CC1260" w:rsidRPr="00EA6DC4" w14:paraId="643FC558" w14:textId="77777777">
        <w:trPr>
          <w:trHeight w:val="6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6394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01D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Contaminação bacteriana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EC6B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ACE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CC1260" w:rsidRPr="00EA6DC4" w14:paraId="58A97376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B51B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D27C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Agitação e ansiedade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9453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ED3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CC1260" w:rsidRPr="00EA6DC4" w14:paraId="2BFF37F1" w14:textId="77777777">
        <w:trPr>
          <w:trHeight w:val="6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4D15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08F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Reação hemolítica aguda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48E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21AE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CC1260" w:rsidRPr="00EA6DC4" w14:paraId="1888D77E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E43A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D707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Sobrecarga circulatória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842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C11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CC1260" w:rsidRPr="00EA6DC4" w14:paraId="3EE2C693" w14:textId="77777777">
        <w:trPr>
          <w:trHeight w:val="6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B678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7EE30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Edema pulmonar não cardiogênico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840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BADA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CC1260" w:rsidRPr="00EA6DC4" w14:paraId="0360AF64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D17E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98B5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Tremores e calafrios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2734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1DE4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C1260" w:rsidRPr="00EA6DC4" w14:paraId="5EC44C36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3099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9629F0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sabe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D3932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C2585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CC1260" w:rsidRPr="00EA6DC4" w14:paraId="28812BBD" w14:textId="77777777">
        <w:trPr>
          <w:trHeight w:val="300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937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eading=h.26in1rg" w:colFirst="0" w:colLast="0"/>
            <w:bookmarkEnd w:id="13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 teve acesso ao formulário de notificação de reações adversas?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88D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15F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7771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CC1260" w:rsidRPr="00EA6DC4" w14:paraId="511A2EBA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BED5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E0F50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4ECE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222B3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CC1260" w:rsidRPr="00EA6DC4" w14:paraId="70140DE7" w14:textId="77777777">
        <w:trPr>
          <w:trHeight w:val="300"/>
          <w:jc w:val="center"/>
        </w:trPr>
        <w:tc>
          <w:tcPr>
            <w:tcW w:w="45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7F7F9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 atitude o profissional deve ter frente a uma reação transfusional imediata?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EC4E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eading=h.lnxbz9" w:colFirst="0" w:colLast="0"/>
            <w:bookmarkEnd w:id="14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Interromper a transfusão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E3D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DC31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CC1260" w:rsidRPr="00EA6DC4" w14:paraId="4B54F37B" w14:textId="77777777">
        <w:trPr>
          <w:trHeight w:val="55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664968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099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Comunicar ao médico e enfermeiro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253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D21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CC1260" w:rsidRPr="00EA6DC4" w14:paraId="1A471BD1" w14:textId="77777777">
        <w:trPr>
          <w:trHeight w:val="5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0D8CD4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5E02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heading=h.35nkun2" w:colFirst="0" w:colLast="0"/>
            <w:bookmarkEnd w:id="15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Guarda a bolsa e enviar ao banco de sangue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470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71E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CC1260" w:rsidRPr="00EA6DC4" w14:paraId="23EF0F5D" w14:textId="77777777">
        <w:trPr>
          <w:trHeight w:val="6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02D381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8C6A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Administrar solução fisiológica 0,9%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9660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172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C1260" w:rsidRPr="00EA6DC4" w14:paraId="6CFC9D43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D197C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7747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sabe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7C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7BA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CC1260" w:rsidRPr="00EA6DC4" w14:paraId="35B2A409" w14:textId="77777777">
        <w:trPr>
          <w:trHeight w:val="3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2A0203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EB82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Aferir SSVV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6997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A4FC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C1260" w:rsidRPr="00EA6DC4" w14:paraId="6BF445F8" w14:textId="77777777">
        <w:trPr>
          <w:trHeight w:val="600"/>
          <w:jc w:val="center"/>
        </w:trPr>
        <w:tc>
          <w:tcPr>
            <w:tcW w:w="45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4BCFF4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757F9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Fazer notificação de eventos adversos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AC5CF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76F72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</w:tbl>
    <w:p w14:paraId="152D1AC8" w14:textId="77777777" w:rsidR="00CC1260" w:rsidRPr="00EA6DC4" w:rsidRDefault="00A8341E" w:rsidP="00EA6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1ksv4uv" w:colFirst="0" w:colLast="0"/>
      <w:bookmarkEnd w:id="16"/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Dados da pesquisa,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2020</w:t>
      </w:r>
      <w:proofErr w:type="gramEnd"/>
    </w:p>
    <w:p w14:paraId="7E691C7B" w14:textId="77777777" w:rsidR="00CC1260" w:rsidRPr="00EA6DC4" w:rsidRDefault="00CC1260" w:rsidP="00EA6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692DF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44sinio" w:colFirst="0" w:colLast="0"/>
      <w:bookmarkEnd w:id="17"/>
      <w:r w:rsidRPr="00EA6DC4">
        <w:rPr>
          <w:rFonts w:ascii="Times New Roman" w:eastAsia="Times New Roman" w:hAnsi="Times New Roman" w:cs="Times New Roman"/>
          <w:sz w:val="24"/>
          <w:szCs w:val="24"/>
        </w:rPr>
        <w:tab/>
        <w:t>A Tabela 3 descreve a análise estatística das variáveis do estudo pelo ACM. Verificamos que a primeira dimensão pela ACM (que foi a escolhida para ser utilizada como e</w:t>
      </w:r>
      <w:r w:rsidRPr="00EA6DC4">
        <w:rPr>
          <w:rFonts w:ascii="Times New Roman" w:eastAsia="Times New Roman" w:hAnsi="Times New Roman" w:cs="Times New Roman"/>
          <w:i/>
          <w:sz w:val="24"/>
          <w:szCs w:val="24"/>
        </w:rPr>
        <w:t xml:space="preserve">score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de conhecimento) apresentou 37,5% da variância total do sistema. Como agregador de conhecimento, a resposta correta que teve maior peso foi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relacionada ao receptor universal.  As respostas erradas, com maior peso, foram sobre o período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máximo de infusão do concentrado de hemácias, seguida do tipo sanguíneo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doador universal.</w:t>
      </w:r>
    </w:p>
    <w:p w14:paraId="5CED35F9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2jxsxqh" w:colFirst="0" w:colLast="0"/>
      <w:bookmarkEnd w:id="18"/>
      <w:r w:rsidRPr="00EA6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3: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Pesos da formação do escore de conhecimento dos profissionais de enfermagem de acordo com as estimativas da primeira dimensão da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>Análise de Correspondência Múltipla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. Recife-PE, 2020.</w:t>
      </w:r>
    </w:p>
    <w:tbl>
      <w:tblPr>
        <w:tblStyle w:val="a5"/>
        <w:tblW w:w="85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34"/>
        <w:gridCol w:w="2735"/>
        <w:gridCol w:w="2735"/>
      </w:tblGrid>
      <w:tr w:rsidR="00CC1260" w:rsidRPr="00EA6DC4" w14:paraId="1874162C" w14:textId="77777777">
        <w:trPr>
          <w:trHeight w:val="300"/>
          <w:jc w:val="center"/>
        </w:trPr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3C7DC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Variável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B3145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20128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Pesos</w:t>
            </w:r>
          </w:p>
        </w:tc>
      </w:tr>
      <w:tr w:rsidR="00CC1260" w:rsidRPr="00EA6DC4" w14:paraId="546D96D9" w14:textId="77777777">
        <w:trPr>
          <w:trHeight w:val="181"/>
          <w:jc w:val="center"/>
        </w:trPr>
        <w:tc>
          <w:tcPr>
            <w:tcW w:w="30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47F6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máximo de infusão do concentrado de hemácias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C882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horas (correto)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F12B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C1260" w:rsidRPr="00EA6DC4" w14:paraId="44271BA0" w14:textId="77777777">
        <w:trPr>
          <w:trHeight w:val="181"/>
          <w:jc w:val="center"/>
        </w:trPr>
        <w:tc>
          <w:tcPr>
            <w:tcW w:w="30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0EEA8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0651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Demais respostas (errado)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0411A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-0,75</w:t>
            </w:r>
          </w:p>
        </w:tc>
      </w:tr>
      <w:tr w:rsidR="00CC1260" w:rsidRPr="00EA6DC4" w14:paraId="0B0D7923" w14:textId="77777777">
        <w:trPr>
          <w:trHeight w:val="300"/>
          <w:jc w:val="center"/>
        </w:trPr>
        <w:tc>
          <w:tcPr>
            <w:tcW w:w="30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93A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doador universal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49C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negativo (correto)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47A1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CC1260" w:rsidRPr="00EA6DC4" w14:paraId="7061CFB9" w14:textId="77777777">
        <w:trPr>
          <w:trHeight w:val="300"/>
          <w:jc w:val="center"/>
        </w:trPr>
        <w:tc>
          <w:tcPr>
            <w:tcW w:w="30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CFBF3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A50A7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Demais respostas (errado)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44D30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-0,71</w:t>
            </w:r>
          </w:p>
        </w:tc>
      </w:tr>
      <w:tr w:rsidR="00CC1260" w:rsidRPr="00EA6DC4" w14:paraId="28303EFF" w14:textId="77777777">
        <w:trPr>
          <w:trHeight w:val="300"/>
          <w:jc w:val="center"/>
        </w:trPr>
        <w:tc>
          <w:tcPr>
            <w:tcW w:w="30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DE9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receptor universal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5E7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 positivo (correto)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56E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CC1260" w:rsidRPr="00EA6DC4" w14:paraId="07154CCF" w14:textId="77777777">
        <w:trPr>
          <w:trHeight w:val="300"/>
          <w:jc w:val="center"/>
        </w:trPr>
        <w:tc>
          <w:tcPr>
            <w:tcW w:w="30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9221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0BF67E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Demais respostas (errado)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C3F4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-0,65</w:t>
            </w:r>
          </w:p>
        </w:tc>
      </w:tr>
      <w:tr w:rsidR="00CC1260" w:rsidRPr="00EA6DC4" w14:paraId="4C741C08" w14:textId="77777777">
        <w:trPr>
          <w:trHeight w:val="600"/>
          <w:jc w:val="center"/>
        </w:trPr>
        <w:tc>
          <w:tcPr>
            <w:tcW w:w="30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060E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tempo necessário para ocorrer uma reação transfusional imediata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1CD70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Durante a transfusão ou em até 24h após (correto)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2DE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C1260" w:rsidRPr="00EA6DC4" w14:paraId="41839D10" w14:textId="77777777">
        <w:trPr>
          <w:trHeight w:val="50"/>
          <w:jc w:val="center"/>
        </w:trPr>
        <w:tc>
          <w:tcPr>
            <w:tcW w:w="30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642C16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BFEE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Demais respostas (errado)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F3651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</w:tr>
      <w:tr w:rsidR="00CC1260" w:rsidRPr="00EA6DC4" w14:paraId="19D57E05" w14:textId="77777777">
        <w:trPr>
          <w:trHeight w:val="50"/>
          <w:jc w:val="center"/>
        </w:trPr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2D4E4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Variância da dimensão </w:t>
            </w: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2096A3" w14:textId="77777777" w:rsidR="00CC1260" w:rsidRPr="00EA6DC4" w:rsidRDefault="00CC1260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3FE8D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CC1260" w:rsidRPr="00EA6DC4" w14:paraId="7B316F9C" w14:textId="77777777">
        <w:trPr>
          <w:trHeight w:val="50"/>
          <w:jc w:val="center"/>
        </w:trPr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50327A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Porcentagem na variância total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AD2FB0" w14:textId="77777777" w:rsidR="00CC1260" w:rsidRPr="00EA6DC4" w:rsidRDefault="00CC1260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0B43B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</w:tr>
    </w:tbl>
    <w:p w14:paraId="3293B36D" w14:textId="77777777" w:rsidR="00CC1260" w:rsidRPr="00EA6DC4" w:rsidRDefault="00A8341E" w:rsidP="00EA6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Dados da pesquisa,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2020</w:t>
      </w:r>
      <w:proofErr w:type="gramEnd"/>
    </w:p>
    <w:p w14:paraId="67572AE5" w14:textId="77777777" w:rsidR="00CC1260" w:rsidRPr="00EA6DC4" w:rsidRDefault="00CC1260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347A6" w14:textId="763857C0" w:rsidR="00CC1260" w:rsidRPr="00EA6DC4" w:rsidRDefault="00A8341E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z337ya" w:colFirst="0" w:colLast="0"/>
      <w:bookmarkEnd w:id="19"/>
      <w:r w:rsidRPr="00EA6DC4">
        <w:rPr>
          <w:rFonts w:ascii="Times New Roman" w:eastAsia="Times New Roman" w:hAnsi="Times New Roman" w:cs="Times New Roman"/>
          <w:sz w:val="24"/>
          <w:szCs w:val="24"/>
        </w:rPr>
        <w:t>A distribuição dos escores de conhecimento dos profissionais de enfermagem sobre hemoterapia realizado pela ACM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, podem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ser observados na figura 1. Observa-se que o nível de conhecimento se mostra homogêneo, com mediana de 50% e média de 49%, com uma leve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assimetria à esquerda, que denota melhora de conhecimento relacionado à formação profissional e idade dos participantes (Tabela 4). Verificamos que os enfermeiros (mediana 77,7 e média 70) apresentaram melhores escores em relação aos técnicos de enfermagem (mediana 33,8; </w:t>
      </w:r>
      <w:r w:rsidRPr="00EA6DC4">
        <w:rPr>
          <w:rFonts w:ascii="Times New Roman" w:eastAsia="Times New Roman" w:hAnsi="Times New Roman" w:cs="Times New Roman"/>
          <w:i/>
          <w:sz w:val="24"/>
          <w:szCs w:val="24"/>
        </w:rPr>
        <w:t xml:space="preserve">p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=0,04), significando aumento da mediana em 130%, com destaque, também, para o valor mínimo dos técnicos que foi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(zero) e dos enfermeiros 25,5.  Identificou-se, também, que a faixa etária 18 a 39 anos (mediana 62,7 e média 60,5) apresentou melhores escores em relação </w:t>
      </w:r>
      <w:proofErr w:type="gramStart"/>
      <w:r w:rsidRPr="00EA6DC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faixa de 40 anos ou mais (mediana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25,5; </w:t>
      </w:r>
      <w:r w:rsidRPr="00EA6DC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>=0,01), significando aumento de 150%.</w:t>
      </w:r>
      <w:bookmarkStart w:id="20" w:name="_heading=h.wkvjy57yo7qx" w:colFirst="0" w:colLast="0"/>
      <w:bookmarkEnd w:id="20"/>
    </w:p>
    <w:p w14:paraId="1FD08C90" w14:textId="77777777" w:rsidR="00CC1260" w:rsidRPr="00EA6DC4" w:rsidRDefault="00CC1260" w:rsidP="00EA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nsc8ulv6ev7" w:colFirst="0" w:colLast="0"/>
      <w:bookmarkEnd w:id="21"/>
    </w:p>
    <w:p w14:paraId="1EAD4150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heading=h.3j2qqm3" w:colFirst="0" w:colLast="0"/>
      <w:bookmarkEnd w:id="22"/>
      <w:r w:rsidRPr="00EA6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4: 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Medidas de posição e tendência central do escore de conhecimento apresentado pelos profissionais de enfermagem do estudo (n=32) em relação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>às variáveis</w:t>
      </w: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sociodemográficas e com o valor-p referente ao teste de comparação de medianas. Recife-PE, 2020.</w:t>
      </w:r>
    </w:p>
    <w:tbl>
      <w:tblPr>
        <w:tblStyle w:val="a6"/>
        <w:tblW w:w="85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34"/>
        <w:gridCol w:w="1294"/>
        <w:gridCol w:w="708"/>
        <w:gridCol w:w="1124"/>
        <w:gridCol w:w="765"/>
        <w:gridCol w:w="645"/>
        <w:gridCol w:w="585"/>
        <w:gridCol w:w="849"/>
      </w:tblGrid>
      <w:tr w:rsidR="00CC1260" w:rsidRPr="00EA6DC4" w14:paraId="7C7431C5" w14:textId="77777777">
        <w:trPr>
          <w:trHeight w:val="300"/>
          <w:jc w:val="center"/>
        </w:trPr>
        <w:tc>
          <w:tcPr>
            <w:tcW w:w="2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AF5B19" w14:textId="77777777" w:rsidR="00CC1260" w:rsidRPr="00EA6DC4" w:rsidRDefault="00A8341E" w:rsidP="00EA6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Variável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6C166" w14:textId="77777777" w:rsidR="00CC1260" w:rsidRPr="00EA6DC4" w:rsidRDefault="00A8341E" w:rsidP="00EA6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762E83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Mín.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E323DE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Mediana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E3D20A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Média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FDB408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Máx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F06E0D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DP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BAA5B6" w14:textId="77777777" w:rsidR="00CC1260" w:rsidRPr="00EA6DC4" w:rsidRDefault="00A8341E" w:rsidP="00EA6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Valor-</w:t>
            </w:r>
            <w:r w:rsidRPr="00EA6D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</w:p>
        </w:tc>
      </w:tr>
      <w:tr w:rsidR="00CC1260" w:rsidRPr="00EA6DC4" w14:paraId="7CCD2A67" w14:textId="77777777">
        <w:trPr>
          <w:trHeight w:val="50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601C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CA4B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A7AF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BEF6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347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7DF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475E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CCEFB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C1260" w:rsidRPr="00EA6DC4" w14:paraId="4E9CDA26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AC99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4A5B1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Feminino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95AF0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68EE4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89AC9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AF5A2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2150B8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228D8B" w14:textId="77777777" w:rsidR="00CC1260" w:rsidRPr="00EA6DC4" w:rsidRDefault="00CC1260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260" w:rsidRPr="00EA6DC4" w14:paraId="25436606" w14:textId="77777777">
        <w:trPr>
          <w:trHeight w:val="300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9B6AC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Faixa etária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1E0A4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 39 anos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CCAB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F94D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DB1FB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1B4A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CA65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1813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C1260" w:rsidRPr="00EA6DC4" w14:paraId="06FCF181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DB4D8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FF92F2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anos e mais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B5048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7BE59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_heading=h.1y810tw" w:colFirst="0" w:colLast="0"/>
            <w:bookmarkEnd w:id="23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22D7C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BD8B1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8D02D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B2A8A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260" w:rsidRPr="00EA6DC4" w14:paraId="61C6E533" w14:textId="77777777">
        <w:trPr>
          <w:trHeight w:val="300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8561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Formação profissional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EB7D3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Técnico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EEE78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F631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A0A2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6F7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6CD8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465E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CC1260" w:rsidRPr="00EA6DC4" w14:paraId="2F421E5F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C6E5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021235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Enfermeiro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18559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E5782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40562D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36D1B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1748D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535720" w14:textId="77777777" w:rsidR="00CC1260" w:rsidRPr="00EA6DC4" w:rsidRDefault="00CC1260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260" w:rsidRPr="00EA6DC4" w14:paraId="7D3F69DC" w14:textId="77777777">
        <w:trPr>
          <w:trHeight w:val="300"/>
          <w:jc w:val="center"/>
        </w:trPr>
        <w:tc>
          <w:tcPr>
            <w:tcW w:w="25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9401C0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 de atuação na UTI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3E80F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Menos </w:t>
            </w: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61F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D0464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E4AF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FC3D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146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B8AC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0,57*</w:t>
            </w:r>
          </w:p>
        </w:tc>
      </w:tr>
      <w:tr w:rsidR="00CC1260" w:rsidRPr="00EA6DC4" w14:paraId="3359B9BE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CD12CA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67838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a 5 anos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ED5F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2FB22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92D2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11C7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1F7DA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E4A00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1,00**</w:t>
            </w:r>
          </w:p>
        </w:tc>
      </w:tr>
      <w:tr w:rsidR="00CC1260" w:rsidRPr="00EA6DC4" w14:paraId="78D67EEA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377C67" w14:textId="77777777" w:rsidR="00CC1260" w:rsidRPr="00EA6DC4" w:rsidRDefault="00CC1260" w:rsidP="00EA6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AC2EBF" w14:textId="77777777" w:rsidR="00CC1260" w:rsidRPr="00EA6DC4" w:rsidRDefault="00A8341E" w:rsidP="00EA6D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anos ou mais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8A191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F29BE4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536DBF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A5EBDE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564EF5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1FE666" w14:textId="77777777" w:rsidR="00CC1260" w:rsidRPr="00EA6DC4" w:rsidRDefault="00A8341E" w:rsidP="00EA6D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0,4***</w:t>
            </w:r>
          </w:p>
        </w:tc>
      </w:tr>
    </w:tbl>
    <w:p w14:paraId="57CFC91F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Teste de comparação de medianas por permutação realizado entre quem possui menos de </w:t>
      </w:r>
      <w:proofErr w:type="gramStart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 e de 1 a 5 anos.</w:t>
      </w:r>
    </w:p>
    <w:p w14:paraId="59639CAD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Teste de comparação de medianas por permutação realizado entre quem possui menos de </w:t>
      </w:r>
      <w:proofErr w:type="gramStart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 e 6 anos ou mais.</w:t>
      </w:r>
    </w:p>
    <w:p w14:paraId="7C3620CE" w14:textId="77777777" w:rsidR="001F6FB4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*** Teste de comparação de medianas por permutação realizado entre quem possui de 1 a 5 anos e </w:t>
      </w:r>
      <w:proofErr w:type="gramStart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EA6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 ou mais</w:t>
      </w:r>
    </w:p>
    <w:p w14:paraId="5A6DE669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D39CA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EC695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537EB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EFA87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FDE3CF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96313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AB8CE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075B4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03D14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3F512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D6DFC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12A1A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8DAD9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08189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64248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99203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B32600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5AE95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77499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1160D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7F652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17C88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357F4" w14:textId="77777777" w:rsidR="001F6FB4" w:rsidRPr="00EA6DC4" w:rsidRDefault="001F6FB4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98B17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9CA39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FB084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3A08E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330F1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960B9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6482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CBE1F" w14:textId="77777777" w:rsidR="005A775F" w:rsidRDefault="005A775F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C236D" w14:textId="43958721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Figura 1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: (a) Densidade estimada para o escore de conhecimento sobre hemoterapia apresentada pela amostra de profissionais de enfermagem do estudo (n=32). (b) </w:t>
      </w:r>
      <w:proofErr w:type="spellStart"/>
      <w:r w:rsidRPr="00EA6DC4">
        <w:rPr>
          <w:rFonts w:ascii="Times New Roman" w:eastAsia="Times New Roman" w:hAnsi="Times New Roman" w:cs="Times New Roman"/>
          <w:i/>
          <w:sz w:val="24"/>
          <w:szCs w:val="24"/>
        </w:rPr>
        <w:t>Boxplots</w:t>
      </w:r>
      <w:proofErr w:type="spellEnd"/>
      <w:r w:rsidRPr="00EA6DC4">
        <w:rPr>
          <w:rFonts w:ascii="Times New Roman" w:eastAsia="Times New Roman" w:hAnsi="Times New Roman" w:cs="Times New Roman"/>
          <w:sz w:val="24"/>
          <w:szCs w:val="24"/>
        </w:rPr>
        <w:t xml:space="preserve"> para o escore de conhecimento sobre hemoterapia e as diferentes variáveis sociodemográficas. Recife-PE, 2020.</w:t>
      </w:r>
    </w:p>
    <w:p w14:paraId="2787E29E" w14:textId="77777777" w:rsidR="00CC1260" w:rsidRPr="00EA6DC4" w:rsidRDefault="00A8341E" w:rsidP="00EA6D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D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ADA87C" wp14:editId="5C258725">
            <wp:extent cx="5726356" cy="369688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356" cy="3696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D8EF5" w14:textId="77777777" w:rsidR="00CC1260" w:rsidRPr="001F6FB4" w:rsidRDefault="00A8341E" w:rsidP="00EA6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C1260" w:rsidRPr="001F6FB4" w:rsidSect="00EA6DC4">
          <w:pgSz w:w="11906" w:h="16838"/>
          <w:pgMar w:top="1418" w:right="1418" w:bottom="1418" w:left="1418" w:header="709" w:footer="709" w:gutter="0"/>
          <w:cols w:space="720"/>
        </w:sectPr>
      </w:pPr>
      <w:r w:rsidRPr="00EA6DC4">
        <w:rPr>
          <w:rFonts w:ascii="Times New Roman" w:eastAsia="Times New Roman" w:hAnsi="Times New Roman" w:cs="Times New Roman"/>
          <w:b/>
          <w:sz w:val="24"/>
          <w:szCs w:val="24"/>
        </w:rPr>
        <w:t xml:space="preserve">Fonte: </w:t>
      </w:r>
      <w:r w:rsidRPr="00EA6DC4">
        <w:rPr>
          <w:rFonts w:ascii="Times New Roman" w:eastAsia="Times New Roman" w:hAnsi="Times New Roman" w:cs="Times New Roman"/>
          <w:sz w:val="24"/>
          <w:szCs w:val="24"/>
        </w:rPr>
        <w:t>Dados da pesquisa, 2020</w:t>
      </w:r>
      <w:proofErr w:type="gramStart"/>
    </w:p>
    <w:p w14:paraId="5A321263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End"/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DISCUSSÃO</w:t>
      </w:r>
    </w:p>
    <w:p w14:paraId="4DF84172" w14:textId="58CC42C6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Nesta pesquisa, observou-se predominância de profissionais do sexo feminino, demonstrando que a enfermagem ainda se destaca pela participação feminina em sua maioria, característica prevalente na enfermagem na maioria dos estudos, inclusive naqueles que avaliaram conhecimento de profissionais de enfermagem sobre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hemoterapia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10, 11, 12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F39851" w14:textId="227F6393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4" w:name="_heading=h.4i7ojhp" w:colFirst="0" w:colLast="0"/>
      <w:bookmarkEnd w:id="24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Com relação ao treinamento sobre hemoterapia e reações transfusionais recebido pela equipe de enfermagem pesquisada, verificamos que a maioria não obteve treinamento, não se sentia capacitada para atuar em eventos adversos de hemoterapia; não sabia a função e a indicação correta dos hemocomponentes, o que consequentemente pode prejudicar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assistência ao paciente durante o processo transfusional. De forma semelhante, em estudo conduzido em Goiás </w:t>
      </w:r>
      <w:r w:rsidR="00CC0AE8" w:rsidRPr="001F6FB4">
        <w:rPr>
          <w:rFonts w:ascii="Times New Roman" w:eastAsia="Times New Roman" w:hAnsi="Times New Roman" w:cs="Times New Roman"/>
          <w:sz w:val="24"/>
          <w:szCs w:val="24"/>
        </w:rPr>
        <w:t>(Brasil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83697F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13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, realizado com 31 enfermeiros que atuavam em instituições de saúde no município de Jataí, verificou que 19 (61,3%) dos enfermeiros não receberam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treinamento sobre hemoterapia</w:t>
      </w:r>
      <w:r w:rsidR="0083697F"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(14)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7273676" w14:textId="58FB5C54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5" w:name="_heading=h.v71q3ulxlc6e" w:colFirst="0" w:colLast="0"/>
      <w:bookmarkEnd w:id="25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falta de treinamento diminui o reconhecimento de eventos adversos, que é importante para que as medidas terapêuticas sejam estabelecidas rapidamente, bem como as estratégias de prevenção para futuras transfusões. Pesquisa realizada em uma Unidade de Terapia Intensiva concluiu que o conhecimento necessário sobre estes </w:t>
      </w:r>
      <w:r w:rsidR="00CC0AE8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eventos possibilita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prevenção </w:t>
      </w:r>
      <w:r w:rsidR="00CC0AE8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dos erros e danos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causados ao paciente, melhorando a qualidade da assistência prestada no cuidado com a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saúde</w:t>
      </w:r>
      <w:r w:rsidR="00174F60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174F60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15,16)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.</w:t>
      </w:r>
    </w:p>
    <w:p w14:paraId="6661414E" w14:textId="1D645FDD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qxrzdedexm3q" w:colFirst="0" w:colLast="0"/>
      <w:bookmarkEnd w:id="26"/>
      <w:r w:rsidRPr="001F6FB4">
        <w:rPr>
          <w:rFonts w:ascii="Times New Roman" w:eastAsia="Times New Roman" w:hAnsi="Times New Roman" w:cs="Times New Roman"/>
          <w:sz w:val="24"/>
          <w:szCs w:val="24"/>
        </w:rPr>
        <w:t>Estudos realizados em um h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ospital universitário da região Centro-Oeste do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Brasil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e em um Hospital Geral do Interior Paulista</w:t>
      </w:r>
      <w:r w:rsidR="00174F60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(17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corroboram com as fragilidades relatadas pelos profissionais de enfermagem deste estudo quanto às indicações dos hemocomponentes, inclusive as do concentrado de hemácias e das plaquetas, que são os mais utilizados na prática transfusional.</w:t>
      </w:r>
    </w:p>
    <w:p w14:paraId="475F692C" w14:textId="301B37AC" w:rsidR="00CC1260" w:rsidRPr="001F6FB4" w:rsidRDefault="00451246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7" w:name="_heading=h.u7evk4psepqk" w:colFirst="0" w:colLast="0"/>
      <w:bookmarkEnd w:id="27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Outra pesquisa realizada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um hospital do interior do Rio de Janeiro, região sudeste do Brasil,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também 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identificou fragilidades por parte da equipe de enfermagem sobre o conhecimento perante os cuidados diante de uma reação transfusional, fato analisado no estudo como agravante no contexto da segurança do </w:t>
      </w:r>
      <w:proofErr w:type="gramStart"/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</w:t>
      </w:r>
      <w:r w:rsidR="00174F60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174F60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18)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</w:rPr>
        <w:t>O conhecimento limitado sobre hemoterapia prejudica o processo transfusional, a assistência ao paciente e, consequentemente, a sua segurança. Deste modo, para que a equipe de enfermagem possa assumir o compromisso social com a saúde da população, as instituições deve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 oferecer treinamento periódico e contínuo em hemoterapia, visto que a capacitação profissional poderá garantir a segurança do paciente, reduzindo a possibilidade de eventos </w:t>
      </w:r>
      <w:proofErr w:type="gramStart"/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adversos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A8341E"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16,18</w:t>
      </w:r>
      <w:r w:rsidR="00686807"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,19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="00A8341E" w:rsidRPr="001F6F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529D1E" w14:textId="10A271E6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lastRenderedPageBreak/>
        <w:t>Em relação ao conhecimento sobre hemoterapia, identificamos que a maioria reconhece como correto o acompanhamento da transfusão como atribuição da equipe de enfermagem; tinha conhecimento do tempo máximo de infusão do concentrado de hemácias, e que não podem ser administradas drogas, simultaneamente, no mesmo acesso venoso da transfusão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>, estando de acordo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com o guia para uso de hemocomponentes do Ministério da Saúde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(20)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935FD" w14:textId="77777777" w:rsidR="00451246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Nessa perspectiva, 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de responsabilidade da equipe de enfermagem realizar o acompanhamento da transfusão, e o seu exercício deve ser fundamentado no contato direto e individualizado, com atenção e prevenção das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falhas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3,18,19)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Em relação ao sistema ABO, verificamos déficit de conhecimento dos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participantes quanto ao tipo sanguíneo doador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e receptor universal (respostas certas menos de 50%). </w:t>
      </w:r>
    </w:p>
    <w:p w14:paraId="209256C1" w14:textId="099D99D1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A falha na compreensão do sistema ABO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é responsável pela reação hemolítica aguda, sendo esta definida como um quadro grave em que ocorre hemólise intravascular das hemácias incompatíveis transfundidas, devido à presença de anticorpos pré-formados na circulação do paciente. Quanto ao tempo máximo de infusão de um concentrado de hemácias, não deve exceder o período de 4 horas, 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>uma vez que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o sangue perde suas propriedades por causa da exposição à temperatura que não pode ser controlada após a instalação, elevando assim o risco de proliferação bacteriana, podendo levar o paciente a uma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sepse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91700F5" w14:textId="2E8040F0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Verificamos que apesar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maioria dos profissionais do estudo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ter respondido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corretamente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sobre a interrupção da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transfusão,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apenas uma pequena parcela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referiu que a bolsa de sangue deveria ser devolvida à agência transfusional, o que demonstrou déficit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conhecimento quanto 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>a esta conduta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Além disso,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existe o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agrav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fato de que a maioria respondeu que não tinha acesso ao formulário de notificação de reações adversas.</w:t>
      </w:r>
    </w:p>
    <w:p w14:paraId="12DD3FD4" w14:textId="5F968940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ao conhecimento sobre reação transfusional imediata, verificamos que mais da metade dos profissionais pesquisados não vivenciou eventos adversos de hemoterapia; e poucos tinham conhecimento que a reação pode ocorrer durante a transfusão ou em até 24h.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A vivência de algum evento adverso em hemoterapia é uma situação que deve ser valorizada, pois ressalta a importância do atendimento de qualidade visando à segurança do paciente</w:t>
      </w:r>
      <w:r w:rsidRPr="001F6FB4"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</w:rPr>
        <w:t xml:space="preserve">. 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segurança e a capacidade de tomada de decisão são aspectos importantes para atuação na ocorrência de eventos adversos relacionados à hemoterapia, prevenção de riscos e complicações </w:t>
      </w:r>
      <w:proofErr w:type="spellStart"/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transfusionais</w:t>
      </w:r>
      <w:proofErr w:type="spellEnd"/>
      <w:r w:rsidR="00686807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="00686807"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21)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4CE66754" w14:textId="2CF00926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eading=h.1ci93xb" w:colFirst="0" w:colLast="0"/>
      <w:bookmarkEnd w:id="28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Em relação ao conhecimento dos profissionais sobre os sinais e sintomas apresentados pelos pacientes com reação transfusional imediata, também </w:t>
      </w:r>
      <w:r w:rsidR="00451246" w:rsidRPr="001F6FB4">
        <w:rPr>
          <w:rFonts w:ascii="Times New Roman" w:eastAsia="Times New Roman" w:hAnsi="Times New Roman" w:cs="Times New Roman"/>
          <w:sz w:val="24"/>
          <w:szCs w:val="24"/>
        </w:rPr>
        <w:t>se observou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déficit de conhecimento. Estes citaram apenas as reações hemolíticas agudas, sobrecarga circulatória,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contaminação bacteriana e hipotensão. Já os sinais e sintomas mais frequentes associados aos procedimentos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</w:rPr>
        <w:t>hemoterápicos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não foram citados pelos participantes, tais como: febre, calafrios, dor no peito, abdômen ou na região lombar, alterações da pressão arterial, desconforto respiratório, náuseas, com ou sem vômito, urticárias, ou outras alergias cutâneas e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anafilaxia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22)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16EE03" w14:textId="06BC76B5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a8e8wxqairjj" w:colFirst="0" w:colLast="0"/>
      <w:bookmarkEnd w:id="29"/>
      <w:r w:rsidRPr="001F6FB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A capacidade de identificar se o paciente está apresentando uma reação transfusional imediata é extremamente relevante, pois tais reações são as mais frequentes, representando mais de 98% dos casos.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Outras complicações também podem ocorrer, como a reação febril não hemolítica, reação alérgica leve, moderada e grave, 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</w:rPr>
        <w:t>entre outras, a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s quais devem ser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notificad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10B5C388" w14:textId="5BFB907E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>O reconhecimento dessas complicações pela equipe de enfermagem possibilita a adoção de medidas que vão ajudar a reverter o quadro do paciente, no entanto muitas vezes passam despercebidas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Embora algumas reações sejam inevitáveis, grande parte das complicações transfusionais é atribuída ao erro humano, muitas vezes pela falta de monitorização adequada durante o ato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transfusional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23)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81AF51A" w14:textId="77777777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A RDC n. 34, normatiza que os profissionais de saúde envolvidos no ato de transfusões sanguíneas, devem estar capacitados para observar e identificar eventos adversos, principalmente aos sinais clínicos de uma reação transfusional e os protocolos a serem realizados durante a emergência da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reação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D399EDE" w14:textId="5CE30E02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>Quanto à conduta frente a uma reação transfusional imediata, as principais respostas foram: comunicar ao médico e enfermeiro, interromper a transfusão, guardar a bolsa e comunicar à agência transfusional. Poucos profissionais relataram verificar os sinais vitais, e administrar solução fisiológica 0,9%, as demais condutas, tais como: enviar amostra sanguínea do paciente ao serviço de hemoterapia junto com a bolsa e o equipo, coletar e enviar amostras de sangue e/ou urina para o laboratório clínico, notificar a suspeita da reação ao serviço de hemoterapia e comitê transfusional por meio de impresso próprio e registrar as ações no prontuário do paciente não foram citadas.</w:t>
      </w:r>
    </w:p>
    <w:p w14:paraId="3FECEFF4" w14:textId="77777777" w:rsidR="00CC1260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O profissional de enfermagem deve registrar no prontuário a data, horário de início e término da transfusão, assim como sinais vitais, além da origem e identificação dos hemocomponentes, esse registro permite identificar se a transfusão ocorreu conforme normas vigentes, bem como viabilizar a notificação de eventos </w:t>
      </w:r>
      <w:proofErr w:type="gramStart"/>
      <w:r w:rsidRPr="001F6FB4">
        <w:rPr>
          <w:rFonts w:ascii="Times New Roman" w:eastAsia="Times New Roman" w:hAnsi="Times New Roman" w:cs="Times New Roman"/>
          <w:sz w:val="24"/>
          <w:szCs w:val="24"/>
        </w:rPr>
        <w:t>adversos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(</w:t>
      </w:r>
      <w:proofErr w:type="gramEnd"/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5,23)</w:t>
      </w:r>
      <w:r w:rsidRPr="001F6FB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Em relação ao escore geral de conhecimento dos profissionais de enfermagem sobre hemoterapia, verificamos nível de conhecimento baixo, entretanto, verificamos aumento nos escores relacionados à formação profissional e idade dos participantes. Portanto, o treinamento em serviço deve ser uma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prática rotineira nos serviços de saúde, uma vez que pode contribuir para a prática segura nos procedimentos transfusionais. </w:t>
      </w:r>
    </w:p>
    <w:p w14:paraId="17188448" w14:textId="77777777" w:rsidR="00625923" w:rsidRPr="001F6FB4" w:rsidRDefault="00625923" w:rsidP="007D6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O investimento nesta temática deve ser incentivado, com vistas à valorização da especialidade, bem como a contemplação dos conteúdos nos cursos de formação dos profissionais de enfermagem, visando suprir as carências evidenciadas na valorização e prática desses profissionais. </w:t>
      </w:r>
    </w:p>
    <w:p w14:paraId="22978C15" w14:textId="77777777" w:rsidR="00625923" w:rsidRDefault="00625923" w:rsidP="007D6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4815A" w14:textId="0B4E91A5" w:rsidR="00625923" w:rsidRPr="00625923" w:rsidRDefault="00625923" w:rsidP="007D6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923">
        <w:rPr>
          <w:rFonts w:ascii="Times New Roman" w:eastAsia="Times New Roman" w:hAnsi="Times New Roman" w:cs="Times New Roman"/>
          <w:b/>
          <w:sz w:val="24"/>
          <w:szCs w:val="24"/>
        </w:rPr>
        <w:t>LIMITAÇÕES DO ESTUDO</w:t>
      </w:r>
    </w:p>
    <w:p w14:paraId="7FBE4A97" w14:textId="77777777" w:rsidR="00CC1260" w:rsidRDefault="00A8341E" w:rsidP="007D6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As limitações do estudo foram quanto à população pesquisada, por se tratar de uma amostra pequena e restrita a um único setor da instituição, bem como o fato de que nos meses referentes à coleta de dados, a UTI estava em isolamento devido à pandemia de COVID-19, dificultando assim a coleta de dados. </w:t>
      </w:r>
    </w:p>
    <w:p w14:paraId="300AEF8D" w14:textId="77777777" w:rsidR="00625923" w:rsidRPr="001F6FB4" w:rsidRDefault="00625923" w:rsidP="007D66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E0464" w14:textId="4E2161F4" w:rsidR="00CC1260" w:rsidRDefault="00625923" w:rsidP="007D6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CONTRIBUIÇÕES PARA A PRÁTICA</w:t>
      </w:r>
    </w:p>
    <w:p w14:paraId="78491322" w14:textId="0DBBF0AF" w:rsidR="007D6667" w:rsidRPr="007D6667" w:rsidRDefault="007D6667" w:rsidP="007D66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667">
        <w:rPr>
          <w:rFonts w:ascii="Times New Roman" w:eastAsia="Times New Roman" w:hAnsi="Times New Roman" w:cs="Times New Roman"/>
          <w:sz w:val="24"/>
          <w:szCs w:val="24"/>
        </w:rPr>
        <w:t>O presente estudo enfatiza a necessidade da capacitação dos profissionais de enfermagem que atuam nas Unidades de Terapia Intensiva (</w:t>
      </w:r>
      <w:proofErr w:type="spellStart"/>
      <w:r w:rsidRPr="007D6667">
        <w:rPr>
          <w:rFonts w:ascii="Times New Roman" w:eastAsia="Times New Roman" w:hAnsi="Times New Roman" w:cs="Times New Roman"/>
          <w:sz w:val="24"/>
          <w:szCs w:val="24"/>
        </w:rPr>
        <w:t>UTIs</w:t>
      </w:r>
      <w:proofErr w:type="spellEnd"/>
      <w:r w:rsidRPr="007D6667">
        <w:rPr>
          <w:rFonts w:ascii="Times New Roman" w:eastAsia="Times New Roman" w:hAnsi="Times New Roman" w:cs="Times New Roman"/>
          <w:sz w:val="24"/>
          <w:szCs w:val="24"/>
        </w:rPr>
        <w:t xml:space="preserve">) no cuidado e monitoramento de pacientes em hemoterapias. Diante dos riscos que envolvem as terapias </w:t>
      </w:r>
      <w:proofErr w:type="spellStart"/>
      <w:r w:rsidRPr="007D6667">
        <w:rPr>
          <w:rFonts w:ascii="Times New Roman" w:eastAsia="Times New Roman" w:hAnsi="Times New Roman" w:cs="Times New Roman"/>
          <w:sz w:val="24"/>
          <w:szCs w:val="24"/>
        </w:rPr>
        <w:t>transfusionais</w:t>
      </w:r>
      <w:proofErr w:type="spellEnd"/>
      <w:r w:rsidRPr="007D6667">
        <w:rPr>
          <w:rFonts w:ascii="Times New Roman" w:eastAsia="Times New Roman" w:hAnsi="Times New Roman" w:cs="Times New Roman"/>
          <w:sz w:val="24"/>
          <w:szCs w:val="24"/>
        </w:rPr>
        <w:t xml:space="preserve">, o investimento sobre esta temática contribui para a assistência de enfermagem segura diante das reações </w:t>
      </w:r>
      <w:proofErr w:type="spellStart"/>
      <w:r w:rsidRPr="007D6667">
        <w:rPr>
          <w:rFonts w:ascii="Times New Roman" w:eastAsia="Times New Roman" w:hAnsi="Times New Roman" w:cs="Times New Roman"/>
          <w:sz w:val="24"/>
          <w:szCs w:val="24"/>
        </w:rPr>
        <w:t>transfusionais</w:t>
      </w:r>
      <w:proofErr w:type="spellEnd"/>
      <w:r w:rsidRPr="007D6667">
        <w:rPr>
          <w:rFonts w:ascii="Times New Roman" w:eastAsia="Times New Roman" w:hAnsi="Times New Roman" w:cs="Times New Roman"/>
          <w:sz w:val="24"/>
          <w:szCs w:val="24"/>
        </w:rPr>
        <w:t xml:space="preserve"> imediatas.</w:t>
      </w:r>
    </w:p>
    <w:p w14:paraId="71B7B796" w14:textId="77777777" w:rsidR="00625923" w:rsidRPr="001F6FB4" w:rsidRDefault="00625923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B3A5C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607AA094" w14:textId="4A5549A4" w:rsidR="00CC1260" w:rsidRPr="001F6FB4" w:rsidRDefault="00A8341E" w:rsidP="001F6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Os resultados do estudo evidenciaram lacunas no conhecimento sobre reações transfusionais imediatas </w:t>
      </w:r>
      <w:r w:rsidR="00010A54" w:rsidRPr="001F6FB4">
        <w:rPr>
          <w:rFonts w:ascii="Times New Roman" w:eastAsia="Times New Roman" w:hAnsi="Times New Roman" w:cs="Times New Roman"/>
          <w:sz w:val="24"/>
          <w:szCs w:val="24"/>
        </w:rPr>
        <w:t>pelos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profissionais de enfermagem da instituição pesquisada, demonstrando conhecimento superficial sobre o assunto.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Destaca-se a necessidade de treinamento em serviço </w:t>
      </w:r>
      <w:r w:rsidR="008E581E" w:rsidRPr="001F6FB4">
        <w:rPr>
          <w:rFonts w:ascii="Times New Roman" w:eastAsia="Times New Roman" w:hAnsi="Times New Roman" w:cs="Times New Roman"/>
          <w:sz w:val="24"/>
          <w:szCs w:val="24"/>
        </w:rPr>
        <w:t>favorecendo a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 xml:space="preserve"> atuação dos profissionais de enfermagem de forma eficiente, contribuindo para as ações de </w:t>
      </w:r>
      <w:proofErr w:type="spellStart"/>
      <w:r w:rsidRPr="001F6FB4">
        <w:rPr>
          <w:rFonts w:ascii="Times New Roman" w:eastAsia="Times New Roman" w:hAnsi="Times New Roman" w:cs="Times New Roman"/>
          <w:sz w:val="24"/>
          <w:szCs w:val="24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visando um atendimento de qualidade e manutenção da cultura de segurança na hemoterapia. Recomendamos que mais pesquisas sobre essa temática sejam conduzidas a fim de dar visibilidade e reflexão sobre a prática </w:t>
      </w:r>
      <w:r w:rsidRPr="001F6FB4">
        <w:rPr>
          <w:rFonts w:ascii="Times New Roman" w:eastAsia="Times New Roman" w:hAnsi="Times New Roman" w:cs="Times New Roman"/>
          <w:sz w:val="24"/>
          <w:szCs w:val="24"/>
        </w:rPr>
        <w:t>da enfermagem na hemoterapia.</w:t>
      </w:r>
    </w:p>
    <w:p w14:paraId="5B6F40B4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22BA8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1A5F3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80D8E" w14:textId="77777777" w:rsidR="00CC1260" w:rsidRPr="001F6FB4" w:rsidRDefault="00CC1260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67E81" w14:textId="77777777" w:rsidR="005A775F" w:rsidRDefault="005A775F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01380" w14:textId="77777777" w:rsidR="005A775F" w:rsidRDefault="005A775F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GoBack"/>
      <w:bookmarkEnd w:id="30"/>
    </w:p>
    <w:p w14:paraId="745CD5DA" w14:textId="77777777" w:rsidR="00CC1260" w:rsidRPr="001F6FB4" w:rsidRDefault="00A8341E" w:rsidP="001F6F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8850129" w14:textId="2BA66260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Amaral JHS, Nunes RLS, Rodrigues LMS, Silvino ZR. Hemoterapia: um desafio no cotidiano da equipe de enfermagem.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UFPE/Revista de Enfermagem UFPE 2016;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10:4820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-7. </w:t>
      </w:r>
    </w:p>
    <w:p w14:paraId="118A4A34" w14:textId="3756EEA6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EM, Vieira CA, Silva FO, Ferreira EV.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challenges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responding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reactions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Revista Enfermagem UERJ 2017;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25: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e11552. </w:t>
      </w:r>
    </w:p>
    <w:p w14:paraId="014D6B3C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Brasil. Resolução Diretora Colegiada: RDC n° 34, de 11 de junho de 2014. Dispõe sobre as Boas Práticas no Ciclo do Sangue Brasília (DF): Diário Oficial da República Federativa do Brasil, 11 de junho de 2014.</w:t>
      </w:r>
    </w:p>
    <w:p w14:paraId="12179512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Ministério da Saúde (BR). Agência Nacional de Vigilância Sanitária. RDC n. 34, de 11 de junho de 2014. Dispõe sobre as boas práticas no ciclo do sangue. Brasília: MS; 2014.</w:t>
      </w:r>
    </w:p>
    <w:p w14:paraId="2DBE96D4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Saúde; Agência Nacional de Vigilância Sanitária.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Brasil: relatório consolidado 2007-2015. Brasília: ANVISA; 2016</w:t>
      </w:r>
    </w:p>
    <w:p w14:paraId="03AD0658" w14:textId="79147BEA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Mattia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Andrade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SR.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Cuidados de enfermagem na transfusão de sangue: um instrumento para monitorização do paciente. Texto e contexto – enfermagem, v. 25 (2) Florianópolis, 2016. </w:t>
      </w:r>
    </w:p>
    <w:p w14:paraId="1FD90618" w14:textId="44FAD786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Carneiro VSM,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Barp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Coelho MA.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Hemotherapy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immediate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reactions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. REM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– </w:t>
      </w:r>
      <w:proofErr w:type="spell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proofErr w:type="spell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 </w:t>
      </w:r>
      <w:proofErr w:type="spell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Enferm</w:t>
      </w:r>
      <w:proofErr w:type="spell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21:e-1031. </w:t>
      </w:r>
    </w:p>
    <w:p w14:paraId="63CB97AD" w14:textId="65E2B5DA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Diniz DPR, Moreno AH. Reações de transfusão de sangue e cuidados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peritransfusionais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Cuidarte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2018;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12(1): 59-66. </w:t>
      </w:r>
    </w:p>
    <w:p w14:paraId="1486BEF3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Grandi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JL,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Areco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KCN, Chiba A, Oliveira MMB, Barbosa DA. Fatores associados à gravidade das reações transfusionais ocorridas em hospital de ensino, na cidade de São Paulo, entre 2007-2019. Vigilância Sanitária em Debate: Sociedade, Ciência &amp; Tecnologia (Health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Surveillance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under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Debate: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Society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Science &amp; Technology)–Visa em Debate, 2020.</w:t>
      </w:r>
    </w:p>
    <w:p w14:paraId="10582C13" w14:textId="53F771F2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Souza WFR de, Cerqueira ETV. A atuação do enfermeiro na gestão do cuidado em reaçõe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transfusionais. REAS. </w:t>
      </w:r>
      <w:proofErr w:type="gram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17mar.</w:t>
      </w:r>
      <w:proofErr w:type="gram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;(21):e586. </w:t>
      </w:r>
    </w:p>
    <w:p w14:paraId="219F866F" w14:textId="0C18A1D0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Buozi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BC, Lopes CT, Santos ER, Bergamasco EC, Murakami BM.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Adequacy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“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blood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Classification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REME –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Enferm</w:t>
      </w:r>
      <w:proofErr w:type="spell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. 2019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23: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e-1258 </w:t>
      </w:r>
    </w:p>
    <w:p w14:paraId="7FF50645" w14:textId="71550E62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Silva TOM, Cardoso TCS, De Góis RMO. A segurança do paciente em procedimentos de hemoterapia: uma revisão bibliográfica de 2007 a 2016. In: Congresso Internacional de Enfermagem. 2017. </w:t>
      </w:r>
    </w:p>
    <w:p w14:paraId="75FE7CE0" w14:textId="75B00ACA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Federal de Enfermagem. Resolução COFEN nº 511/2016, de 31 de março de 2016. Aprova a Norma Técnica que dispõe sobre a atuação de Enfermeiros e Técnicos de Enfermagem em Hem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oterapia. Brasília: COFEN; 2016.</w:t>
      </w:r>
    </w:p>
    <w:p w14:paraId="3F09884C" w14:textId="69E2F2A1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Leite GR, De Assis CL,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Iwata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Freitas GS, Maia LG, Eid LP, Martins MA, Pina Paulino VC,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Sthal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HC. Segurança do paciente na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hemotransfusão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atitude e conhecimento de enfermeiros no sudoeste de Goiás. Rev.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Iti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nerarius</w:t>
      </w:r>
      <w:proofErr w:type="spell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Reflectionis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5º de dezembro de </w:t>
      </w:r>
      <w:proofErr w:type="gram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2018;</w:t>
      </w:r>
      <w:proofErr w:type="gram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14(4): 01-10.</w:t>
      </w:r>
    </w:p>
    <w:p w14:paraId="6BBEAD3D" w14:textId="487A051F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Saúde; Agência Nacional de Vigilância Sanitária.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manual técnico para investigação das reações transfusionais imediatas e tardias não infecciosas. Brasília: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Anvisa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2007. </w:t>
      </w:r>
    </w:p>
    <w:p w14:paraId="0D08F101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Saúde; Agência Nacional de Vigilância Sanitária. Marco conceitual e operacional de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guia para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hemovigilância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Brasil. Brasília: ANVISA; 2015.</w:t>
      </w:r>
    </w:p>
    <w:p w14:paraId="2B125FF2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(Chapman &amp;</w:t>
      </w:r>
      <w:proofErr w:type="spellStart"/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Hall_CRC</w:t>
      </w:r>
      <w:proofErr w:type="spellEnd"/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Greenacre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Michael J –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Correspondence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ThirdEdition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-CRC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Press_ChapmanandHall_CRC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(2017).</w:t>
      </w:r>
    </w:p>
    <w:p w14:paraId="7AF7A3AC" w14:textId="76D92E31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PAR, Assis DM, Silva CR. Conhecimento de profissionais de enfermagem sobre atuação em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hemotransfusão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Revista ciência saúde 2017; 2(2): 15-24. </w:t>
      </w:r>
    </w:p>
    <w:p w14:paraId="094EF8BF" w14:textId="6CBC0E75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Nazário SS,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Baracelli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MDC,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Gandolfi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Marcondes C,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Spangnolo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ML. Educação permanente de equipe de enfermagem em reação transfusional. Revista de Enfermagem UFPE online 2019; 13 (2): 3017-14. </w:t>
      </w:r>
    </w:p>
    <w:p w14:paraId="35A96339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Pereira CS, Silva FC, Monteiro MGS, Rodrigues AMUR, Abreu RNDC. Cuidados de enfermagem para segurança do paciente em Hemoterapia. Rev. Enfermagem UFPI, 2016;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5(1):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28-33.</w:t>
      </w:r>
    </w:p>
    <w:p w14:paraId="3E503F26" w14:textId="0C9DE7C6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Cherem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EDO, Alves VH, Rodrigues DP, Pimenta PCDO, Souza FDL, Guerra JVV. The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transfusional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neonatal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intensive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nurse's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. Tex</w:t>
      </w:r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contexto - </w:t>
      </w:r>
      <w:proofErr w:type="spellStart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enferm</w:t>
      </w:r>
      <w:proofErr w:type="spellEnd"/>
      <w:r w:rsidR="00D12E7A">
        <w:rPr>
          <w:rFonts w:ascii="Times New Roman" w:eastAsia="Times New Roman" w:hAnsi="Times New Roman" w:cs="Times New Roman"/>
          <w:color w:val="000000"/>
          <w:sz w:val="24"/>
          <w:szCs w:val="24"/>
        </w:rPr>
        <w:t>. 2018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27(1): </w:t>
      </w:r>
    </w:p>
    <w:p w14:paraId="27936C8C" w14:textId="1873A5B5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Lima AA, Silva GP, Rocha SM, Barbosa EL. A importância do enfermeiro durante a reação transfusional aguda: revisão de literatura Revista </w:t>
      </w:r>
      <w:proofErr w:type="spell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Recien</w:t>
      </w:r>
      <w:proofErr w:type="spell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2016;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6(17):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45-56.</w:t>
      </w:r>
    </w:p>
    <w:p w14:paraId="5DB8053C" w14:textId="77777777" w:rsidR="00CC1260" w:rsidRPr="001F6FB4" w:rsidRDefault="00A8341E" w:rsidP="00D12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Secretaria de Atenção à Saúde. Departamento de Atenção Especializada e Temática. Guia para uso de hemocomponentes / Ministério da Saúde, </w:t>
      </w:r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Secretaria de Atenção à Saúde, Departamento de Atenção Especializada e Temática. 2. </w:t>
      </w:r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1. </w:t>
      </w:r>
      <w:proofErr w:type="spellStart"/>
      <w:proofErr w:type="gramStart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reimpr</w:t>
      </w:r>
      <w:proofErr w:type="spellEnd"/>
      <w:proofErr w:type="gramEnd"/>
      <w:r w:rsidRPr="001F6FB4">
        <w:rPr>
          <w:rFonts w:ascii="Times New Roman" w:eastAsia="Times New Roman" w:hAnsi="Times New Roman" w:cs="Times New Roman"/>
          <w:color w:val="000000"/>
          <w:sz w:val="24"/>
          <w:szCs w:val="24"/>
        </w:rPr>
        <w:t>. – Brasília: Ministério da Saúde, 2015.</w:t>
      </w:r>
    </w:p>
    <w:sectPr w:rsidR="00CC1260" w:rsidRPr="001F6FB4">
      <w:headerReference w:type="default" r:id="rId10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AD70B" w14:textId="77777777" w:rsidR="003F10F6" w:rsidRDefault="003F10F6">
      <w:pPr>
        <w:spacing w:after="0" w:line="240" w:lineRule="auto"/>
      </w:pPr>
      <w:r>
        <w:separator/>
      </w:r>
    </w:p>
  </w:endnote>
  <w:endnote w:type="continuationSeparator" w:id="0">
    <w:p w14:paraId="5E7BD664" w14:textId="77777777" w:rsidR="003F10F6" w:rsidRDefault="003F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87CBE" w14:textId="77777777" w:rsidR="003F10F6" w:rsidRDefault="003F10F6">
      <w:pPr>
        <w:spacing w:after="0" w:line="240" w:lineRule="auto"/>
      </w:pPr>
      <w:r>
        <w:separator/>
      </w:r>
    </w:p>
  </w:footnote>
  <w:footnote w:type="continuationSeparator" w:id="0">
    <w:p w14:paraId="3E537023" w14:textId="77777777" w:rsidR="003F10F6" w:rsidRDefault="003F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297A" w14:textId="08307060" w:rsidR="00CC1260" w:rsidRDefault="00A83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65A8">
      <w:rPr>
        <w:noProof/>
        <w:color w:val="000000"/>
      </w:rPr>
      <w:t>13</w:t>
    </w:r>
    <w:r>
      <w:rPr>
        <w:color w:val="000000"/>
      </w:rPr>
      <w:fldChar w:fldCharType="end"/>
    </w:r>
  </w:p>
  <w:p w14:paraId="4C8A09B5" w14:textId="77777777" w:rsidR="00CC1260" w:rsidRDefault="00CC1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15B9"/>
    <w:multiLevelType w:val="multilevel"/>
    <w:tmpl w:val="33522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0"/>
    <w:rsid w:val="00010A54"/>
    <w:rsid w:val="00174F60"/>
    <w:rsid w:val="001F2CBA"/>
    <w:rsid w:val="001F6FB4"/>
    <w:rsid w:val="002669EB"/>
    <w:rsid w:val="003F10F6"/>
    <w:rsid w:val="00431BAF"/>
    <w:rsid w:val="00446878"/>
    <w:rsid w:val="00451246"/>
    <w:rsid w:val="005105E8"/>
    <w:rsid w:val="005A775F"/>
    <w:rsid w:val="00625923"/>
    <w:rsid w:val="00686807"/>
    <w:rsid w:val="007C3292"/>
    <w:rsid w:val="007D6667"/>
    <w:rsid w:val="007E65A8"/>
    <w:rsid w:val="0083697F"/>
    <w:rsid w:val="008E581E"/>
    <w:rsid w:val="00A8341E"/>
    <w:rsid w:val="00CA1DC0"/>
    <w:rsid w:val="00CC0AE8"/>
    <w:rsid w:val="00CC1260"/>
    <w:rsid w:val="00D12E7A"/>
    <w:rsid w:val="00E14B0F"/>
    <w:rsid w:val="00EA6DC4"/>
    <w:rsid w:val="00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4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18D"/>
  </w:style>
  <w:style w:type="paragraph" w:styleId="Rodap">
    <w:name w:val="footer"/>
    <w:basedOn w:val="Normal"/>
    <w:link w:val="RodapChar"/>
    <w:uiPriority w:val="99"/>
    <w:unhideWhenUsed/>
    <w:rsid w:val="001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18D"/>
  </w:style>
  <w:style w:type="table" w:customStyle="1" w:styleId="Tabelacomgrade1">
    <w:name w:val="Tabela com grade1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960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605E"/>
    <w:rPr>
      <w:color w:val="605E5C"/>
      <w:shd w:val="clear" w:color="auto" w:fill="E1DFDD"/>
    </w:rPr>
  </w:style>
  <w:style w:type="paragraph" w:customStyle="1" w:styleId="Default">
    <w:name w:val="Default"/>
    <w:rsid w:val="002C5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95F24"/>
    <w:pPr>
      <w:ind w:left="720"/>
      <w:contextualSpacing/>
    </w:pPr>
  </w:style>
  <w:style w:type="paragraph" w:customStyle="1" w:styleId="Corpo">
    <w:name w:val="Corpo"/>
    <w:rsid w:val="00A951D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/>
    </w:rPr>
  </w:style>
  <w:style w:type="numbering" w:customStyle="1" w:styleId="EstiloImportado1">
    <w:name w:val="Estilo Importado 1"/>
    <w:rsid w:val="00A951D3"/>
  </w:style>
  <w:style w:type="character" w:customStyle="1" w:styleId="author">
    <w:name w:val="author"/>
    <w:basedOn w:val="Fontepargpadro"/>
    <w:rsid w:val="00BC4F03"/>
  </w:style>
  <w:style w:type="character" w:customStyle="1" w:styleId="articletitle">
    <w:name w:val="articletitle"/>
    <w:basedOn w:val="Fontepargpadro"/>
    <w:rsid w:val="00BC4F03"/>
  </w:style>
  <w:style w:type="character" w:customStyle="1" w:styleId="pubyear">
    <w:name w:val="pubyear"/>
    <w:basedOn w:val="Fontepargpadro"/>
    <w:rsid w:val="00BC4F03"/>
  </w:style>
  <w:style w:type="character" w:customStyle="1" w:styleId="vol">
    <w:name w:val="vol"/>
    <w:basedOn w:val="Fontepargpadro"/>
    <w:rsid w:val="00BC4F03"/>
  </w:style>
  <w:style w:type="character" w:customStyle="1" w:styleId="pagefirst">
    <w:name w:val="pagefirst"/>
    <w:basedOn w:val="Fontepargpadro"/>
    <w:rsid w:val="00BC4F03"/>
  </w:style>
  <w:style w:type="character" w:customStyle="1" w:styleId="pagelast">
    <w:name w:val="pagelast"/>
    <w:basedOn w:val="Fontepargpadro"/>
    <w:rsid w:val="00BC4F0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48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48CA"/>
    <w:rPr>
      <w:rFonts w:ascii="Consolas" w:hAnsi="Consolas"/>
      <w:sz w:val="20"/>
      <w:szCs w:val="20"/>
    </w:rPr>
  </w:style>
  <w:style w:type="table" w:customStyle="1" w:styleId="Tabelacomgrade41">
    <w:name w:val="Tabela com grade41"/>
    <w:basedOn w:val="Tabelanormal"/>
    <w:next w:val="Tabelacomgrade"/>
    <w:uiPriority w:val="59"/>
    <w:rsid w:val="00E41662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xed-citation">
    <w:name w:val="mixed-citation"/>
    <w:basedOn w:val="Fontepargpadro"/>
    <w:rsid w:val="006876D3"/>
  </w:style>
  <w:style w:type="character" w:customStyle="1" w:styleId="ref-title">
    <w:name w:val="ref-title"/>
    <w:basedOn w:val="Fontepargpadro"/>
    <w:rsid w:val="006876D3"/>
  </w:style>
  <w:style w:type="character" w:customStyle="1" w:styleId="ref-journal">
    <w:name w:val="ref-journal"/>
    <w:basedOn w:val="Fontepargpadro"/>
    <w:rsid w:val="006876D3"/>
  </w:style>
  <w:style w:type="character" w:customStyle="1" w:styleId="ref-vol">
    <w:name w:val="ref-vol"/>
    <w:basedOn w:val="Fontepargpadro"/>
    <w:rsid w:val="006876D3"/>
  </w:style>
  <w:style w:type="table" w:customStyle="1" w:styleId="Tabelacomgrade42">
    <w:name w:val="Tabela com grade42"/>
    <w:basedOn w:val="Tabelanormal"/>
    <w:next w:val="Tabelacomgrade"/>
    <w:uiPriority w:val="59"/>
    <w:rsid w:val="00AB6C6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B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8A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nhideWhenUsed/>
    <w:qFormat/>
    <w:rsid w:val="00615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5124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5124"/>
    <w:rPr>
      <w:rFonts w:eastAsiaTheme="minorEastAsia"/>
      <w:sz w:val="20"/>
      <w:szCs w:val="20"/>
      <w:lang w:eastAsia="pt-BR"/>
    </w:rPr>
  </w:style>
  <w:style w:type="character" w:customStyle="1" w:styleId="apple-tab-span">
    <w:name w:val="apple-tab-span"/>
    <w:basedOn w:val="Fontepargpadro"/>
    <w:rsid w:val="00336B54"/>
  </w:style>
  <w:style w:type="paragraph" w:customStyle="1" w:styleId="Standard">
    <w:name w:val="Standard"/>
    <w:qFormat/>
    <w:rsid w:val="003E7D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E0E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0E3F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CD7"/>
    <w:pPr>
      <w:spacing w:after="160"/>
    </w:pPr>
    <w:rPr>
      <w:rFonts w:eastAsiaTheme="minorHAns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CD7"/>
    <w:rPr>
      <w:rFonts w:eastAsiaTheme="minorEastAsia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18D"/>
  </w:style>
  <w:style w:type="paragraph" w:styleId="Rodap">
    <w:name w:val="footer"/>
    <w:basedOn w:val="Normal"/>
    <w:link w:val="RodapChar"/>
    <w:uiPriority w:val="99"/>
    <w:unhideWhenUsed/>
    <w:rsid w:val="001B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18D"/>
  </w:style>
  <w:style w:type="table" w:customStyle="1" w:styleId="Tabelacomgrade1">
    <w:name w:val="Tabela com grade1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54BD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9605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605E"/>
    <w:rPr>
      <w:color w:val="605E5C"/>
      <w:shd w:val="clear" w:color="auto" w:fill="E1DFDD"/>
    </w:rPr>
  </w:style>
  <w:style w:type="paragraph" w:customStyle="1" w:styleId="Default">
    <w:name w:val="Default"/>
    <w:rsid w:val="002C5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95F24"/>
    <w:pPr>
      <w:ind w:left="720"/>
      <w:contextualSpacing/>
    </w:pPr>
  </w:style>
  <w:style w:type="paragraph" w:customStyle="1" w:styleId="Corpo">
    <w:name w:val="Corpo"/>
    <w:rsid w:val="00A951D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/>
    </w:rPr>
  </w:style>
  <w:style w:type="numbering" w:customStyle="1" w:styleId="EstiloImportado1">
    <w:name w:val="Estilo Importado 1"/>
    <w:rsid w:val="00A951D3"/>
  </w:style>
  <w:style w:type="character" w:customStyle="1" w:styleId="author">
    <w:name w:val="author"/>
    <w:basedOn w:val="Fontepargpadro"/>
    <w:rsid w:val="00BC4F03"/>
  </w:style>
  <w:style w:type="character" w:customStyle="1" w:styleId="articletitle">
    <w:name w:val="articletitle"/>
    <w:basedOn w:val="Fontepargpadro"/>
    <w:rsid w:val="00BC4F03"/>
  </w:style>
  <w:style w:type="character" w:customStyle="1" w:styleId="pubyear">
    <w:name w:val="pubyear"/>
    <w:basedOn w:val="Fontepargpadro"/>
    <w:rsid w:val="00BC4F03"/>
  </w:style>
  <w:style w:type="character" w:customStyle="1" w:styleId="vol">
    <w:name w:val="vol"/>
    <w:basedOn w:val="Fontepargpadro"/>
    <w:rsid w:val="00BC4F03"/>
  </w:style>
  <w:style w:type="character" w:customStyle="1" w:styleId="pagefirst">
    <w:name w:val="pagefirst"/>
    <w:basedOn w:val="Fontepargpadro"/>
    <w:rsid w:val="00BC4F03"/>
  </w:style>
  <w:style w:type="character" w:customStyle="1" w:styleId="pagelast">
    <w:name w:val="pagelast"/>
    <w:basedOn w:val="Fontepargpadro"/>
    <w:rsid w:val="00BC4F0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148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148CA"/>
    <w:rPr>
      <w:rFonts w:ascii="Consolas" w:hAnsi="Consolas"/>
      <w:sz w:val="20"/>
      <w:szCs w:val="20"/>
    </w:rPr>
  </w:style>
  <w:style w:type="table" w:customStyle="1" w:styleId="Tabelacomgrade41">
    <w:name w:val="Tabela com grade41"/>
    <w:basedOn w:val="Tabelanormal"/>
    <w:next w:val="Tabelacomgrade"/>
    <w:uiPriority w:val="59"/>
    <w:rsid w:val="00E41662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xed-citation">
    <w:name w:val="mixed-citation"/>
    <w:basedOn w:val="Fontepargpadro"/>
    <w:rsid w:val="006876D3"/>
  </w:style>
  <w:style w:type="character" w:customStyle="1" w:styleId="ref-title">
    <w:name w:val="ref-title"/>
    <w:basedOn w:val="Fontepargpadro"/>
    <w:rsid w:val="006876D3"/>
  </w:style>
  <w:style w:type="character" w:customStyle="1" w:styleId="ref-journal">
    <w:name w:val="ref-journal"/>
    <w:basedOn w:val="Fontepargpadro"/>
    <w:rsid w:val="006876D3"/>
  </w:style>
  <w:style w:type="character" w:customStyle="1" w:styleId="ref-vol">
    <w:name w:val="ref-vol"/>
    <w:basedOn w:val="Fontepargpadro"/>
    <w:rsid w:val="006876D3"/>
  </w:style>
  <w:style w:type="table" w:customStyle="1" w:styleId="Tabelacomgrade42">
    <w:name w:val="Tabela com grade42"/>
    <w:basedOn w:val="Tabelanormal"/>
    <w:next w:val="Tabelacomgrade"/>
    <w:uiPriority w:val="59"/>
    <w:rsid w:val="00AB6C63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B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8A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nhideWhenUsed/>
    <w:qFormat/>
    <w:rsid w:val="00615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5124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5124"/>
    <w:rPr>
      <w:rFonts w:eastAsiaTheme="minorEastAsia"/>
      <w:sz w:val="20"/>
      <w:szCs w:val="20"/>
      <w:lang w:eastAsia="pt-BR"/>
    </w:rPr>
  </w:style>
  <w:style w:type="character" w:customStyle="1" w:styleId="apple-tab-span">
    <w:name w:val="apple-tab-span"/>
    <w:basedOn w:val="Fontepargpadro"/>
    <w:rsid w:val="00336B54"/>
  </w:style>
  <w:style w:type="paragraph" w:customStyle="1" w:styleId="Standard">
    <w:name w:val="Standard"/>
    <w:qFormat/>
    <w:rsid w:val="003E7D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E0E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0E3F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CD7"/>
    <w:pPr>
      <w:spacing w:after="160"/>
    </w:pPr>
    <w:rPr>
      <w:rFonts w:eastAsiaTheme="minorHAns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CD7"/>
    <w:rPr>
      <w:rFonts w:eastAsiaTheme="minorEastAsia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rRWlC0ZzGIyHS3Do6UJ5GteHw==">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5152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MARIA GUIMARAES</dc:creator>
  <cp:lastModifiedBy>raphael alves</cp:lastModifiedBy>
  <cp:revision>17</cp:revision>
  <dcterms:created xsi:type="dcterms:W3CDTF">2021-01-20T03:14:00Z</dcterms:created>
  <dcterms:modified xsi:type="dcterms:W3CDTF">2021-01-22T18:07:00Z</dcterms:modified>
</cp:coreProperties>
</file>